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1F6" w:rsidRPr="00683046" w:rsidRDefault="005A51F6" w:rsidP="002B5BAE">
      <w:pPr>
        <w:jc w:val="center"/>
        <w:rPr>
          <w:rFonts w:ascii="Times New Roman" w:hAnsi="Times New Roman"/>
          <w:color w:val="0070C0"/>
          <w:sz w:val="32"/>
          <w:szCs w:val="32"/>
        </w:rPr>
      </w:pPr>
      <w:r w:rsidRPr="00683046">
        <w:rPr>
          <w:rFonts w:ascii="Times New Roman" w:hAnsi="Times New Roman"/>
          <w:b/>
          <w:bCs/>
          <w:color w:val="0070C0"/>
          <w:sz w:val="32"/>
          <w:szCs w:val="32"/>
        </w:rPr>
        <w:t>Data Science Strategy &amp; Leadership</w:t>
      </w:r>
      <w:r w:rsidR="002B5BAE" w:rsidRPr="00683046">
        <w:rPr>
          <w:rFonts w:ascii="Times New Roman" w:hAnsi="Times New Roman"/>
          <w:color w:val="0070C0"/>
          <w:sz w:val="32"/>
          <w:szCs w:val="32"/>
        </w:rPr>
        <w:t xml:space="preserve"> </w:t>
      </w:r>
    </w:p>
    <w:p w:rsidR="002B5BAE" w:rsidRPr="00683046" w:rsidRDefault="002B5BAE" w:rsidP="005A51F6">
      <w:pPr>
        <w:rPr>
          <w:rFonts w:ascii="Times New Roman" w:hAnsi="Times New Roman"/>
          <w:sz w:val="22"/>
          <w:szCs w:val="22"/>
        </w:rPr>
      </w:pPr>
    </w:p>
    <w:p w:rsidR="005A51F6" w:rsidRPr="009F5CF2" w:rsidRDefault="005A51F6" w:rsidP="005A51F6">
      <w:pPr>
        <w:rPr>
          <w:rFonts w:ascii="Times New Roman" w:hAnsi="Times New Roman"/>
          <w:sz w:val="22"/>
          <w:szCs w:val="22"/>
        </w:rPr>
      </w:pPr>
      <w:r w:rsidRPr="009F5CF2">
        <w:rPr>
          <w:rFonts w:ascii="Times New Roman" w:hAnsi="Times New Roman"/>
          <w:sz w:val="22"/>
          <w:szCs w:val="22"/>
        </w:rPr>
        <w:t>Course Code:</w:t>
      </w:r>
      <w:r w:rsidRPr="009F5CF2">
        <w:rPr>
          <w:rFonts w:ascii="Times New Roman" w:hAnsi="Times New Roman"/>
          <w:sz w:val="22"/>
          <w:szCs w:val="22"/>
        </w:rPr>
        <w:tab/>
      </w:r>
      <w:r w:rsidRPr="009F5CF2">
        <w:rPr>
          <w:rFonts w:ascii="Times New Roman" w:hAnsi="Times New Roman"/>
          <w:sz w:val="22"/>
          <w:szCs w:val="22"/>
        </w:rPr>
        <w:tab/>
        <w:t>DSB6000</w:t>
      </w:r>
    </w:p>
    <w:p w:rsidR="005A51F6" w:rsidRPr="009F5CF2" w:rsidRDefault="005A51F6" w:rsidP="005A51F6">
      <w:pPr>
        <w:rPr>
          <w:rFonts w:ascii="Times New Roman" w:hAnsi="Times New Roman"/>
          <w:sz w:val="22"/>
          <w:szCs w:val="22"/>
        </w:rPr>
      </w:pPr>
      <w:r w:rsidRPr="009F5CF2">
        <w:rPr>
          <w:rFonts w:ascii="Times New Roman" w:hAnsi="Times New Roman"/>
          <w:sz w:val="22"/>
          <w:szCs w:val="22"/>
        </w:rPr>
        <w:t>Class Schedule:</w:t>
      </w:r>
      <w:r w:rsidRPr="009F5CF2">
        <w:rPr>
          <w:rFonts w:ascii="Times New Roman" w:hAnsi="Times New Roman"/>
          <w:sz w:val="22"/>
          <w:szCs w:val="22"/>
        </w:rPr>
        <w:tab/>
      </w:r>
      <w:r w:rsidRPr="009F5CF2">
        <w:rPr>
          <w:rFonts w:ascii="Times New Roman" w:hAnsi="Times New Roman"/>
          <w:sz w:val="22"/>
          <w:szCs w:val="22"/>
        </w:rPr>
        <w:tab/>
        <w:t>Saturdays 9:00am to 12:25pm, from 0</w:t>
      </w:r>
      <w:r w:rsidR="00683046" w:rsidRPr="009F5CF2">
        <w:rPr>
          <w:rFonts w:ascii="Times New Roman" w:hAnsi="Times New Roman"/>
          <w:sz w:val="22"/>
          <w:szCs w:val="22"/>
        </w:rPr>
        <w:t>2/</w:t>
      </w:r>
      <w:r w:rsidR="000473C9">
        <w:rPr>
          <w:rFonts w:ascii="Times New Roman" w:hAnsi="Times New Roman"/>
          <w:sz w:val="22"/>
          <w:szCs w:val="22"/>
        </w:rPr>
        <w:t>09</w:t>
      </w:r>
      <w:r w:rsidR="00683046" w:rsidRPr="009F5CF2">
        <w:rPr>
          <w:rFonts w:ascii="Times New Roman" w:hAnsi="Times New Roman"/>
          <w:sz w:val="22"/>
          <w:szCs w:val="22"/>
        </w:rPr>
        <w:t>/1</w:t>
      </w:r>
      <w:r w:rsidR="000473C9">
        <w:rPr>
          <w:rFonts w:ascii="Times New Roman" w:hAnsi="Times New Roman"/>
          <w:sz w:val="22"/>
          <w:szCs w:val="22"/>
        </w:rPr>
        <w:t>9</w:t>
      </w:r>
      <w:r w:rsidR="00683046" w:rsidRPr="009F5CF2">
        <w:rPr>
          <w:rFonts w:ascii="Times New Roman" w:hAnsi="Times New Roman"/>
          <w:sz w:val="22"/>
          <w:szCs w:val="22"/>
        </w:rPr>
        <w:t xml:space="preserve"> </w:t>
      </w:r>
      <w:r w:rsidRPr="009F5CF2">
        <w:rPr>
          <w:rFonts w:ascii="Times New Roman" w:hAnsi="Times New Roman"/>
          <w:sz w:val="22"/>
          <w:szCs w:val="22"/>
        </w:rPr>
        <w:t xml:space="preserve">to </w:t>
      </w:r>
      <w:r w:rsidR="00683046" w:rsidRPr="009F5CF2">
        <w:rPr>
          <w:rFonts w:ascii="Times New Roman" w:hAnsi="Times New Roman"/>
          <w:sz w:val="22"/>
          <w:szCs w:val="22"/>
        </w:rPr>
        <w:t>04/2</w:t>
      </w:r>
      <w:r w:rsidR="000473C9">
        <w:rPr>
          <w:rFonts w:ascii="Times New Roman" w:hAnsi="Times New Roman"/>
          <w:sz w:val="22"/>
          <w:szCs w:val="22"/>
        </w:rPr>
        <w:t>7</w:t>
      </w:r>
      <w:r w:rsidR="00683046" w:rsidRPr="009F5CF2">
        <w:rPr>
          <w:rFonts w:ascii="Times New Roman" w:hAnsi="Times New Roman"/>
          <w:sz w:val="22"/>
          <w:szCs w:val="22"/>
        </w:rPr>
        <w:t>/1</w:t>
      </w:r>
      <w:r w:rsidR="000473C9">
        <w:rPr>
          <w:rFonts w:ascii="Times New Roman" w:hAnsi="Times New Roman"/>
          <w:sz w:val="22"/>
          <w:szCs w:val="22"/>
        </w:rPr>
        <w:t>9</w:t>
      </w:r>
    </w:p>
    <w:p w:rsidR="005A51F6" w:rsidRPr="009F5CF2" w:rsidRDefault="005A51F6" w:rsidP="005A51F6">
      <w:pPr>
        <w:rPr>
          <w:rFonts w:ascii="Times New Roman" w:hAnsi="Times New Roman"/>
          <w:sz w:val="22"/>
          <w:szCs w:val="22"/>
        </w:rPr>
      </w:pPr>
      <w:r w:rsidRPr="009F5CF2">
        <w:rPr>
          <w:rFonts w:ascii="Times New Roman" w:hAnsi="Times New Roman"/>
          <w:sz w:val="22"/>
          <w:szCs w:val="22"/>
        </w:rPr>
        <w:t>Semester/Year:</w:t>
      </w:r>
      <w:r w:rsidRPr="009F5CF2">
        <w:rPr>
          <w:rFonts w:ascii="Times New Roman" w:hAnsi="Times New Roman"/>
          <w:sz w:val="22"/>
          <w:szCs w:val="22"/>
        </w:rPr>
        <w:tab/>
      </w:r>
      <w:r w:rsidRPr="009F5CF2">
        <w:rPr>
          <w:rFonts w:ascii="Times New Roman" w:hAnsi="Times New Roman"/>
          <w:sz w:val="22"/>
          <w:szCs w:val="22"/>
        </w:rPr>
        <w:tab/>
      </w:r>
      <w:r w:rsidR="00A4173F" w:rsidRPr="009F5CF2">
        <w:rPr>
          <w:rFonts w:ascii="Times New Roman" w:hAnsi="Times New Roman"/>
          <w:sz w:val="22"/>
          <w:szCs w:val="22"/>
        </w:rPr>
        <w:t>Winter</w:t>
      </w:r>
      <w:r w:rsidRPr="009F5CF2">
        <w:rPr>
          <w:rFonts w:ascii="Times New Roman" w:hAnsi="Times New Roman"/>
          <w:sz w:val="22"/>
          <w:szCs w:val="22"/>
        </w:rPr>
        <w:t xml:space="preserve"> Term 201</w:t>
      </w:r>
      <w:r w:rsidR="000473C9">
        <w:rPr>
          <w:rFonts w:ascii="Times New Roman" w:hAnsi="Times New Roman"/>
          <w:sz w:val="22"/>
          <w:szCs w:val="22"/>
        </w:rPr>
        <w:t>9</w:t>
      </w:r>
    </w:p>
    <w:p w:rsidR="003A5971" w:rsidRPr="009F5CF2" w:rsidRDefault="003A5971" w:rsidP="005A51F6">
      <w:pPr>
        <w:rPr>
          <w:rFonts w:ascii="Times New Roman" w:hAnsi="Times New Roman"/>
          <w:sz w:val="22"/>
          <w:szCs w:val="22"/>
        </w:rPr>
      </w:pPr>
      <w:r w:rsidRPr="009F5CF2">
        <w:rPr>
          <w:rFonts w:ascii="Times New Roman" w:hAnsi="Times New Roman"/>
          <w:sz w:val="22"/>
          <w:szCs w:val="22"/>
        </w:rPr>
        <w:t>Location:</w:t>
      </w:r>
      <w:r w:rsidRPr="009F5CF2">
        <w:rPr>
          <w:rFonts w:ascii="Times New Roman" w:hAnsi="Times New Roman"/>
          <w:sz w:val="22"/>
          <w:szCs w:val="22"/>
        </w:rPr>
        <w:tab/>
      </w:r>
      <w:r w:rsidRPr="009F5CF2">
        <w:rPr>
          <w:rFonts w:ascii="Times New Roman" w:hAnsi="Times New Roman"/>
          <w:sz w:val="22"/>
          <w:szCs w:val="22"/>
        </w:rPr>
        <w:tab/>
      </w:r>
      <w:r w:rsidR="00ED41CA">
        <w:rPr>
          <w:rFonts w:ascii="Times New Roman" w:hAnsi="Times New Roman"/>
          <w:sz w:val="22"/>
          <w:szCs w:val="22"/>
        </w:rPr>
        <w:t>127 MIKE</w:t>
      </w:r>
      <w:bookmarkStart w:id="0" w:name="_GoBack"/>
      <w:bookmarkEnd w:id="0"/>
    </w:p>
    <w:p w:rsidR="002B5BAE" w:rsidRPr="009F5CF2" w:rsidRDefault="002B5BAE" w:rsidP="005A51F6">
      <w:pPr>
        <w:autoSpaceDE w:val="0"/>
        <w:autoSpaceDN w:val="0"/>
        <w:adjustRightInd w:val="0"/>
        <w:rPr>
          <w:rFonts w:ascii="Times New Roman" w:hAnsi="Times New Roman"/>
          <w:sz w:val="22"/>
          <w:szCs w:val="22"/>
        </w:rPr>
      </w:pPr>
    </w:p>
    <w:p w:rsidR="005A51F6" w:rsidRPr="009F5CF2" w:rsidRDefault="002B5BAE" w:rsidP="005A51F6">
      <w:pPr>
        <w:autoSpaceDE w:val="0"/>
        <w:autoSpaceDN w:val="0"/>
        <w:adjustRightInd w:val="0"/>
        <w:rPr>
          <w:rFonts w:ascii="Times New Roman" w:hAnsi="Times New Roman"/>
          <w:sz w:val="22"/>
          <w:szCs w:val="22"/>
        </w:rPr>
      </w:pPr>
      <w:r w:rsidRPr="009F5CF2">
        <w:rPr>
          <w:rFonts w:ascii="Times New Roman" w:hAnsi="Times New Roman"/>
          <w:sz w:val="22"/>
          <w:szCs w:val="22"/>
        </w:rPr>
        <w:t xml:space="preserve">Faculty </w:t>
      </w:r>
      <w:r w:rsidR="005A51F6" w:rsidRPr="009F5CF2">
        <w:rPr>
          <w:rFonts w:ascii="Times New Roman" w:hAnsi="Times New Roman"/>
          <w:sz w:val="22"/>
          <w:szCs w:val="22"/>
        </w:rPr>
        <w:t>Name:</w:t>
      </w:r>
      <w:r w:rsidR="005A51F6" w:rsidRPr="009F5CF2">
        <w:rPr>
          <w:rFonts w:ascii="Times New Roman" w:hAnsi="Times New Roman"/>
          <w:sz w:val="22"/>
          <w:szCs w:val="22"/>
        </w:rPr>
        <w:tab/>
      </w:r>
      <w:r w:rsidR="005A51F6" w:rsidRPr="009F5CF2">
        <w:rPr>
          <w:rFonts w:ascii="Times New Roman" w:hAnsi="Times New Roman"/>
          <w:sz w:val="22"/>
          <w:szCs w:val="22"/>
        </w:rPr>
        <w:tab/>
        <w:t>Rathika Ravi</w:t>
      </w:r>
    </w:p>
    <w:p w:rsidR="005A51F6" w:rsidRPr="009F5CF2" w:rsidRDefault="005A51F6" w:rsidP="005A51F6">
      <w:pPr>
        <w:autoSpaceDE w:val="0"/>
        <w:autoSpaceDN w:val="0"/>
        <w:adjustRightInd w:val="0"/>
        <w:rPr>
          <w:rFonts w:ascii="Times New Roman" w:hAnsi="Times New Roman"/>
          <w:sz w:val="22"/>
          <w:szCs w:val="22"/>
        </w:rPr>
      </w:pPr>
      <w:r w:rsidRPr="009F5CF2">
        <w:rPr>
          <w:rFonts w:ascii="Times New Roman" w:hAnsi="Times New Roman"/>
          <w:sz w:val="22"/>
          <w:szCs w:val="22"/>
        </w:rPr>
        <w:t>Office hours:</w:t>
      </w:r>
      <w:r w:rsidR="002B5BAE" w:rsidRPr="009F5CF2">
        <w:rPr>
          <w:rFonts w:ascii="Times New Roman" w:hAnsi="Times New Roman"/>
          <w:sz w:val="22"/>
          <w:szCs w:val="22"/>
        </w:rPr>
        <w:tab/>
      </w:r>
      <w:r w:rsidR="002B5BAE" w:rsidRPr="009F5CF2">
        <w:rPr>
          <w:rFonts w:ascii="Times New Roman" w:hAnsi="Times New Roman"/>
          <w:sz w:val="22"/>
          <w:szCs w:val="22"/>
        </w:rPr>
        <w:tab/>
        <w:t>By appointment</w:t>
      </w:r>
    </w:p>
    <w:p w:rsidR="003A5971" w:rsidRPr="009F5CF2" w:rsidRDefault="005A51F6" w:rsidP="005A51F6">
      <w:pPr>
        <w:rPr>
          <w:rFonts w:ascii="Times New Roman" w:hAnsi="Times New Roman"/>
          <w:sz w:val="22"/>
          <w:szCs w:val="22"/>
        </w:rPr>
      </w:pPr>
      <w:r w:rsidRPr="009F5CF2">
        <w:rPr>
          <w:rFonts w:ascii="Times New Roman" w:hAnsi="Times New Roman"/>
          <w:sz w:val="22"/>
          <w:szCs w:val="22"/>
        </w:rPr>
        <w:t>E-mail address:</w:t>
      </w:r>
      <w:r w:rsidRPr="009F5CF2">
        <w:rPr>
          <w:rFonts w:ascii="Times New Roman" w:hAnsi="Times New Roman"/>
          <w:sz w:val="22"/>
          <w:szCs w:val="22"/>
        </w:rPr>
        <w:tab/>
      </w:r>
      <w:r w:rsidR="001843D4" w:rsidRPr="009F5CF2">
        <w:rPr>
          <w:rFonts w:ascii="Times New Roman" w:hAnsi="Times New Roman"/>
          <w:sz w:val="22"/>
          <w:szCs w:val="22"/>
        </w:rPr>
        <w:tab/>
      </w:r>
      <w:hyperlink r:id="rId5" w:history="1">
        <w:r w:rsidR="003A5971" w:rsidRPr="009F5CF2">
          <w:rPr>
            <w:rStyle w:val="Hyperlink"/>
            <w:rFonts w:ascii="Times New Roman" w:hAnsi="Times New Roman"/>
            <w:sz w:val="22"/>
            <w:szCs w:val="22"/>
          </w:rPr>
          <w:t>rathika.ravi@wayne.edu</w:t>
        </w:r>
      </w:hyperlink>
    </w:p>
    <w:p w:rsidR="005A51F6" w:rsidRPr="009F5CF2" w:rsidRDefault="005A51F6" w:rsidP="002B5BAE">
      <w:pPr>
        <w:rPr>
          <w:rFonts w:ascii="Times New Roman" w:hAnsi="Times New Roman"/>
          <w:b/>
          <w:sz w:val="22"/>
          <w:szCs w:val="22"/>
        </w:rPr>
      </w:pPr>
    </w:p>
    <w:p w:rsidR="003A5971" w:rsidRPr="009F5CF2" w:rsidRDefault="003A5971" w:rsidP="002B5BAE">
      <w:pPr>
        <w:rPr>
          <w:rFonts w:ascii="Times New Roman" w:hAnsi="Times New Roman"/>
          <w:b/>
          <w:sz w:val="22"/>
          <w:szCs w:val="22"/>
        </w:rPr>
      </w:pPr>
    </w:p>
    <w:p w:rsidR="005A51F6" w:rsidRPr="009F5CF2" w:rsidRDefault="005A51F6" w:rsidP="005A51F6">
      <w:pPr>
        <w:widowControl/>
        <w:autoSpaceDE w:val="0"/>
        <w:autoSpaceDN w:val="0"/>
        <w:adjustRightInd w:val="0"/>
        <w:rPr>
          <w:rFonts w:ascii="Times New Roman" w:eastAsiaTheme="minorHAnsi" w:hAnsi="Times New Roman"/>
          <w:b/>
          <w:snapToGrid/>
          <w:color w:val="2E74B5" w:themeColor="accent1" w:themeShade="BF"/>
          <w:sz w:val="22"/>
          <w:szCs w:val="22"/>
          <w:u w:val="single"/>
        </w:rPr>
      </w:pPr>
      <w:r w:rsidRPr="009F5CF2">
        <w:rPr>
          <w:rFonts w:ascii="Times New Roman" w:eastAsiaTheme="minorHAnsi" w:hAnsi="Times New Roman"/>
          <w:b/>
          <w:snapToGrid/>
          <w:color w:val="2E74B5" w:themeColor="accent1" w:themeShade="BF"/>
          <w:sz w:val="22"/>
          <w:szCs w:val="22"/>
          <w:u w:val="single"/>
        </w:rPr>
        <w:t>Course Description</w:t>
      </w:r>
    </w:p>
    <w:p w:rsidR="005A51F6" w:rsidRPr="009F5CF2" w:rsidRDefault="005A51F6" w:rsidP="005A51F6">
      <w:pPr>
        <w:widowControl/>
        <w:spacing w:before="100" w:beforeAutospacing="1" w:after="100" w:afterAutospacing="1"/>
        <w:rPr>
          <w:rFonts w:ascii="Times New Roman" w:eastAsiaTheme="minorHAnsi" w:hAnsi="Times New Roman"/>
          <w:snapToGrid/>
          <w:sz w:val="22"/>
          <w:szCs w:val="22"/>
        </w:rPr>
      </w:pPr>
      <w:r w:rsidRPr="009F5CF2">
        <w:rPr>
          <w:rFonts w:ascii="Times New Roman" w:hAnsi="Times New Roman"/>
          <w:sz w:val="22"/>
          <w:szCs w:val="22"/>
        </w:rPr>
        <w:t xml:space="preserve">This course will provide the students with an understanding of how organizations can leverage </w:t>
      </w:r>
      <w:r w:rsidRPr="009F5CF2">
        <w:rPr>
          <w:rFonts w:ascii="Times New Roman" w:hAnsi="Times New Roman"/>
          <w:snapToGrid/>
          <w:sz w:val="22"/>
          <w:szCs w:val="22"/>
        </w:rPr>
        <w:t xml:space="preserve">data science and analytics to gain competitive advantage and how to use the data to align with a company’s mission and goals. </w:t>
      </w:r>
      <w:r w:rsidRPr="009F5CF2">
        <w:rPr>
          <w:rFonts w:ascii="Times New Roman" w:hAnsi="Times New Roman"/>
          <w:sz w:val="22"/>
          <w:szCs w:val="22"/>
        </w:rPr>
        <w:t xml:space="preserve"> Students will learn how organizations d</w:t>
      </w:r>
      <w:r w:rsidRPr="009F5CF2">
        <w:rPr>
          <w:rFonts w:ascii="Times New Roman" w:hAnsi="Times New Roman"/>
          <w:snapToGrid/>
          <w:sz w:val="22"/>
          <w:szCs w:val="22"/>
        </w:rPr>
        <w:t>erive business value/impact, and return on investment, and the importance of interpreting and communicating the business case</w:t>
      </w:r>
      <w:r w:rsidRPr="009F5CF2">
        <w:rPr>
          <w:rFonts w:ascii="Times New Roman" w:hAnsi="Times New Roman"/>
          <w:sz w:val="22"/>
          <w:szCs w:val="22"/>
        </w:rPr>
        <w:t>.</w:t>
      </w:r>
    </w:p>
    <w:p w:rsidR="005A51F6" w:rsidRPr="009F5CF2" w:rsidRDefault="005A51F6" w:rsidP="005A51F6">
      <w:pPr>
        <w:widowControl/>
        <w:autoSpaceDE w:val="0"/>
        <w:autoSpaceDN w:val="0"/>
        <w:adjustRightInd w:val="0"/>
        <w:rPr>
          <w:rFonts w:ascii="Times New Roman" w:hAnsi="Times New Roman"/>
          <w:sz w:val="22"/>
          <w:szCs w:val="22"/>
        </w:rPr>
      </w:pPr>
      <w:r w:rsidRPr="009F5CF2">
        <w:rPr>
          <w:rFonts w:ascii="Times New Roman" w:eastAsiaTheme="minorHAnsi" w:hAnsi="Times New Roman"/>
          <w:snapToGrid/>
          <w:sz w:val="22"/>
          <w:szCs w:val="22"/>
        </w:rPr>
        <w:t xml:space="preserve">This course provides an introduction to the use of big data as a strategic resource with an understanding of how companies can leverage data analytics to gain strategic advantage. We </w:t>
      </w:r>
      <w:r w:rsidRPr="009F5CF2">
        <w:rPr>
          <w:rFonts w:ascii="Times New Roman" w:hAnsi="Times New Roman"/>
          <w:sz w:val="22"/>
          <w:szCs w:val="22"/>
        </w:rPr>
        <w:t>stress the factors that impact data management and the analysis methods that have value to them. Through better use of data, organizations are able to plan and enact strategies with greater clarity and confidence. Data is a value point that drives increased organizational efficiency and a competitive advantage. Organizations, for example, Microsoft, IBM, Google, and Amazon are investing heavily in technologies and techniques to help organizations makes sense of, and unlock the value within, big data. Further, business analytics can help organizations successfully cope with rapidly changing business environments by collecting relevant data and analyzing such accumulated big data. Thus, Business Analytics (BA) is a useful strategy for organizations to become analytical competitors who can sense and respond to market opportunities and threats in a timely fashion and achieve competitive advantage.</w:t>
      </w:r>
    </w:p>
    <w:p w:rsidR="005A51F6" w:rsidRPr="009F5CF2" w:rsidRDefault="005A51F6" w:rsidP="005A51F6">
      <w:pPr>
        <w:widowControl/>
        <w:autoSpaceDE w:val="0"/>
        <w:autoSpaceDN w:val="0"/>
        <w:adjustRightInd w:val="0"/>
        <w:rPr>
          <w:rFonts w:ascii="Times New Roman" w:eastAsiaTheme="minorHAnsi" w:hAnsi="Times New Roman"/>
          <w:snapToGrid/>
          <w:sz w:val="22"/>
          <w:szCs w:val="22"/>
        </w:rPr>
      </w:pPr>
    </w:p>
    <w:p w:rsidR="005A51F6" w:rsidRPr="009F5CF2" w:rsidRDefault="005A51F6" w:rsidP="005A51F6">
      <w:pPr>
        <w:widowControl/>
        <w:autoSpaceDE w:val="0"/>
        <w:autoSpaceDN w:val="0"/>
        <w:adjustRightInd w:val="0"/>
        <w:rPr>
          <w:rFonts w:ascii="Times New Roman" w:eastAsiaTheme="minorHAnsi" w:hAnsi="Times New Roman"/>
          <w:snapToGrid/>
          <w:sz w:val="22"/>
          <w:szCs w:val="22"/>
        </w:rPr>
      </w:pPr>
      <w:r w:rsidRPr="009F5CF2">
        <w:rPr>
          <w:rFonts w:ascii="Times New Roman" w:hAnsi="Times New Roman"/>
          <w:sz w:val="22"/>
          <w:szCs w:val="22"/>
        </w:rPr>
        <w:t>This course addresses the strategic management of enterprise analytics. It provides a broad perspective to the role and importance of analytics to business. A focus is on pursing “analytics that matter;” those that are associated with sustainable competitive advantage. Topics covered and cases analyzed will address evaluating, strategically aligning, planning for and directing investments in, governance of, processes for and continuous renewal of analytics deployments in business. The course reinforces the role of analytics for decision support in enabling sound personal decision-making and for creating and maintaining an enterprise-level culture of evidence/fact-based decision making. A project management perspective to deploying analytics will address ethical issues surrounding customer data analytics. The course will also cover data and predictive model ownership issues, enterprise-level support for experiment-based innovation, embedding analytics in business processes and enterprise performance management as it relates to the analytics function in an organization.</w:t>
      </w:r>
    </w:p>
    <w:p w:rsidR="005A51F6" w:rsidRPr="009F5CF2" w:rsidRDefault="005A51F6" w:rsidP="005A51F6">
      <w:pPr>
        <w:widowControl/>
        <w:autoSpaceDE w:val="0"/>
        <w:autoSpaceDN w:val="0"/>
        <w:adjustRightInd w:val="0"/>
        <w:rPr>
          <w:rFonts w:ascii="Times New Roman" w:eastAsiaTheme="minorHAnsi" w:hAnsi="Times New Roman"/>
          <w:snapToGrid/>
          <w:sz w:val="22"/>
          <w:szCs w:val="22"/>
        </w:rPr>
      </w:pPr>
    </w:p>
    <w:p w:rsidR="005A51F6" w:rsidRPr="009F5CF2" w:rsidRDefault="005A51F6" w:rsidP="005A51F6">
      <w:pPr>
        <w:widowControl/>
        <w:autoSpaceDE w:val="0"/>
        <w:autoSpaceDN w:val="0"/>
        <w:adjustRightInd w:val="0"/>
        <w:rPr>
          <w:rFonts w:ascii="Times New Roman" w:eastAsiaTheme="minorHAnsi" w:hAnsi="Times New Roman"/>
          <w:b/>
          <w:snapToGrid/>
          <w:color w:val="2E74B5" w:themeColor="accent1" w:themeShade="BF"/>
          <w:sz w:val="22"/>
          <w:szCs w:val="22"/>
          <w:u w:val="single"/>
        </w:rPr>
      </w:pPr>
      <w:r w:rsidRPr="009F5CF2">
        <w:rPr>
          <w:rFonts w:ascii="Times New Roman" w:eastAsiaTheme="minorHAnsi" w:hAnsi="Times New Roman"/>
          <w:b/>
          <w:snapToGrid/>
          <w:color w:val="2E74B5" w:themeColor="accent1" w:themeShade="BF"/>
          <w:sz w:val="22"/>
          <w:szCs w:val="22"/>
          <w:u w:val="single"/>
        </w:rPr>
        <w:t>Course Objectives</w:t>
      </w:r>
    </w:p>
    <w:p w:rsidR="005A51F6" w:rsidRPr="009F5CF2" w:rsidRDefault="005A51F6" w:rsidP="005A51F6">
      <w:pPr>
        <w:pStyle w:val="ListParagraph"/>
        <w:widowControl/>
        <w:numPr>
          <w:ilvl w:val="0"/>
          <w:numId w:val="1"/>
        </w:numPr>
        <w:spacing w:before="100" w:beforeAutospacing="1" w:after="100" w:afterAutospacing="1"/>
        <w:rPr>
          <w:rFonts w:ascii="Times New Roman" w:hAnsi="Times New Roman"/>
          <w:snapToGrid/>
          <w:sz w:val="22"/>
          <w:szCs w:val="22"/>
        </w:rPr>
      </w:pPr>
      <w:r w:rsidRPr="009F5CF2">
        <w:rPr>
          <w:rFonts w:ascii="Times New Roman" w:hAnsi="Times New Roman"/>
          <w:snapToGrid/>
          <w:sz w:val="22"/>
          <w:szCs w:val="22"/>
        </w:rPr>
        <w:t>Understand how organizations can use data to align with their mission and goals</w:t>
      </w:r>
    </w:p>
    <w:p w:rsidR="005A51F6" w:rsidRPr="009F5CF2" w:rsidRDefault="005A51F6" w:rsidP="005A51F6">
      <w:pPr>
        <w:pStyle w:val="ListParagraph"/>
        <w:widowControl/>
        <w:numPr>
          <w:ilvl w:val="0"/>
          <w:numId w:val="1"/>
        </w:numPr>
        <w:autoSpaceDE w:val="0"/>
        <w:autoSpaceDN w:val="0"/>
        <w:adjustRightInd w:val="0"/>
        <w:rPr>
          <w:rFonts w:ascii="Times New Roman" w:eastAsiaTheme="minorHAnsi" w:hAnsi="Times New Roman"/>
          <w:snapToGrid/>
          <w:sz w:val="22"/>
          <w:szCs w:val="22"/>
        </w:rPr>
      </w:pPr>
      <w:r w:rsidRPr="009F5CF2">
        <w:rPr>
          <w:rFonts w:ascii="Times New Roman" w:eastAsiaTheme="minorHAnsi" w:hAnsi="Times New Roman"/>
          <w:snapToGrid/>
          <w:sz w:val="22"/>
          <w:szCs w:val="22"/>
        </w:rPr>
        <w:t>Understand the role of data science in organizational strategy and how organizations can leverage information to gain competitive advantage.</w:t>
      </w:r>
    </w:p>
    <w:p w:rsidR="005A51F6" w:rsidRPr="0081272D" w:rsidRDefault="005A51F6" w:rsidP="0081272D">
      <w:pPr>
        <w:pStyle w:val="ListParagraph"/>
        <w:widowControl/>
        <w:numPr>
          <w:ilvl w:val="0"/>
          <w:numId w:val="1"/>
        </w:numPr>
        <w:autoSpaceDE w:val="0"/>
        <w:autoSpaceDN w:val="0"/>
        <w:adjustRightInd w:val="0"/>
        <w:rPr>
          <w:rFonts w:ascii="Times New Roman" w:eastAsiaTheme="minorHAnsi" w:hAnsi="Times New Roman"/>
          <w:snapToGrid/>
          <w:sz w:val="22"/>
          <w:szCs w:val="22"/>
        </w:rPr>
      </w:pPr>
      <w:r w:rsidRPr="009F5CF2">
        <w:rPr>
          <w:rStyle w:val="Emphasis"/>
          <w:rFonts w:ascii="Times New Roman" w:hAnsi="Times New Roman"/>
          <w:i w:val="0"/>
          <w:sz w:val="22"/>
          <w:szCs w:val="22"/>
        </w:rPr>
        <w:t>Understand the challenges of data driven businesses –how can organizations start to use their data to deliver actionable business insight.</w:t>
      </w:r>
    </w:p>
    <w:p w:rsidR="005A51F6" w:rsidRPr="009F5CF2" w:rsidRDefault="005A51F6" w:rsidP="005A51F6">
      <w:pPr>
        <w:widowControl/>
        <w:autoSpaceDE w:val="0"/>
        <w:autoSpaceDN w:val="0"/>
        <w:adjustRightInd w:val="0"/>
        <w:rPr>
          <w:rFonts w:ascii="Times New Roman" w:eastAsiaTheme="minorHAnsi" w:hAnsi="Times New Roman"/>
          <w:b/>
          <w:snapToGrid/>
          <w:color w:val="2E74B5" w:themeColor="accent1" w:themeShade="BF"/>
          <w:sz w:val="22"/>
          <w:szCs w:val="22"/>
          <w:u w:val="single"/>
        </w:rPr>
      </w:pPr>
      <w:r w:rsidRPr="009F5CF2">
        <w:rPr>
          <w:rFonts w:ascii="Times New Roman" w:eastAsiaTheme="minorHAnsi" w:hAnsi="Times New Roman"/>
          <w:b/>
          <w:snapToGrid/>
          <w:color w:val="2E74B5" w:themeColor="accent1" w:themeShade="BF"/>
          <w:sz w:val="22"/>
          <w:szCs w:val="22"/>
          <w:u w:val="single"/>
        </w:rPr>
        <w:lastRenderedPageBreak/>
        <w:t>Instructional Method</w:t>
      </w:r>
    </w:p>
    <w:p w:rsidR="005A51F6" w:rsidRPr="009F5CF2" w:rsidRDefault="005A51F6" w:rsidP="005A51F6">
      <w:pPr>
        <w:widowControl/>
        <w:autoSpaceDE w:val="0"/>
        <w:autoSpaceDN w:val="0"/>
        <w:adjustRightInd w:val="0"/>
        <w:rPr>
          <w:rFonts w:ascii="Times New Roman" w:hAnsi="Times New Roman"/>
          <w:sz w:val="22"/>
          <w:szCs w:val="22"/>
        </w:rPr>
      </w:pPr>
      <w:r w:rsidRPr="009F5CF2">
        <w:rPr>
          <w:rFonts w:ascii="Times New Roman" w:eastAsiaTheme="minorHAnsi" w:hAnsi="Times New Roman"/>
          <w:snapToGrid/>
          <w:sz w:val="22"/>
          <w:szCs w:val="22"/>
        </w:rPr>
        <w:t>Many of the topics in this course are often best understood through experiential learning. A case approach is used to emphasize hands-on learning and real-world view of big data analytics. This course will be complemented by lectures, seminar style discussion and outside speakers. Students will be introduced to several topics and tools with emphasis (through cases and projects) on how to use them to generate firm value.</w:t>
      </w:r>
      <w:r w:rsidR="009F5CF2">
        <w:rPr>
          <w:rFonts w:ascii="Times New Roman" w:eastAsiaTheme="minorHAnsi" w:hAnsi="Times New Roman"/>
          <w:snapToGrid/>
          <w:sz w:val="22"/>
          <w:szCs w:val="22"/>
        </w:rPr>
        <w:t xml:space="preserve"> So</w:t>
      </w:r>
      <w:r w:rsidRPr="009F5CF2">
        <w:rPr>
          <w:rFonts w:ascii="Times New Roman" w:eastAsiaTheme="minorHAnsi" w:hAnsi="Times New Roman"/>
          <w:snapToGrid/>
          <w:sz w:val="22"/>
          <w:szCs w:val="22"/>
        </w:rPr>
        <w:t xml:space="preserve">me cases will involve the entire class discussing a situation while others will be team-based. The teams for the exercises and cases will be randomly assigned by the instructor. </w:t>
      </w:r>
    </w:p>
    <w:p w:rsidR="005A51F6" w:rsidRPr="009F5CF2" w:rsidRDefault="005A51F6" w:rsidP="005A51F6">
      <w:pPr>
        <w:widowControl/>
        <w:autoSpaceDE w:val="0"/>
        <w:autoSpaceDN w:val="0"/>
        <w:adjustRightInd w:val="0"/>
        <w:rPr>
          <w:rFonts w:ascii="Times New Roman" w:eastAsiaTheme="minorHAnsi" w:hAnsi="Times New Roman"/>
          <w:snapToGrid/>
          <w:sz w:val="22"/>
          <w:szCs w:val="22"/>
        </w:rPr>
      </w:pPr>
    </w:p>
    <w:p w:rsidR="00876082" w:rsidRPr="009F5CF2" w:rsidRDefault="00876082" w:rsidP="005A51F6">
      <w:pPr>
        <w:widowControl/>
        <w:autoSpaceDE w:val="0"/>
        <w:autoSpaceDN w:val="0"/>
        <w:adjustRightInd w:val="0"/>
        <w:rPr>
          <w:rFonts w:ascii="Times New Roman" w:eastAsiaTheme="minorHAnsi" w:hAnsi="Times New Roman"/>
          <w:b/>
          <w:snapToGrid/>
          <w:color w:val="2E74B5" w:themeColor="accent1" w:themeShade="BF"/>
          <w:sz w:val="22"/>
          <w:szCs w:val="22"/>
          <w:u w:val="single"/>
        </w:rPr>
      </w:pPr>
    </w:p>
    <w:p w:rsidR="005A51F6" w:rsidRPr="009F5CF2" w:rsidRDefault="002B5BAE" w:rsidP="005A51F6">
      <w:pPr>
        <w:widowControl/>
        <w:autoSpaceDE w:val="0"/>
        <w:autoSpaceDN w:val="0"/>
        <w:adjustRightInd w:val="0"/>
        <w:rPr>
          <w:rFonts w:ascii="Times New Roman" w:eastAsiaTheme="minorHAnsi" w:hAnsi="Times New Roman"/>
          <w:b/>
          <w:snapToGrid/>
          <w:color w:val="2E74B5" w:themeColor="accent1" w:themeShade="BF"/>
          <w:sz w:val="22"/>
          <w:szCs w:val="22"/>
          <w:u w:val="single"/>
        </w:rPr>
      </w:pPr>
      <w:r w:rsidRPr="009F5CF2">
        <w:rPr>
          <w:rFonts w:ascii="Times New Roman" w:eastAsiaTheme="minorHAnsi" w:hAnsi="Times New Roman"/>
          <w:b/>
          <w:snapToGrid/>
          <w:color w:val="2E74B5" w:themeColor="accent1" w:themeShade="BF"/>
          <w:sz w:val="22"/>
          <w:szCs w:val="22"/>
          <w:u w:val="single"/>
        </w:rPr>
        <w:t>Suggested Reading</w:t>
      </w:r>
    </w:p>
    <w:p w:rsidR="005A51F6" w:rsidRPr="009F5CF2" w:rsidRDefault="005A51F6" w:rsidP="005A51F6">
      <w:pPr>
        <w:widowControl/>
        <w:autoSpaceDE w:val="0"/>
        <w:autoSpaceDN w:val="0"/>
        <w:adjustRightInd w:val="0"/>
        <w:rPr>
          <w:rFonts w:ascii="Times New Roman" w:eastAsiaTheme="minorHAnsi" w:hAnsi="Times New Roman"/>
          <w:snapToGrid/>
          <w:sz w:val="22"/>
          <w:szCs w:val="22"/>
        </w:rPr>
      </w:pPr>
      <w:r w:rsidRPr="009F5CF2">
        <w:rPr>
          <w:rFonts w:ascii="Times New Roman" w:eastAsiaTheme="minorHAnsi" w:hAnsi="Times New Roman"/>
          <w:snapToGrid/>
          <w:sz w:val="22"/>
          <w:szCs w:val="22"/>
        </w:rPr>
        <w:t>Bill Franks (2012) Taming the Big Data Tidal Wave: Finding Opportunities in Huge Data</w:t>
      </w:r>
    </w:p>
    <w:p w:rsidR="005A51F6" w:rsidRPr="009F5CF2" w:rsidRDefault="005A51F6" w:rsidP="005A51F6">
      <w:pPr>
        <w:widowControl/>
        <w:autoSpaceDE w:val="0"/>
        <w:autoSpaceDN w:val="0"/>
        <w:adjustRightInd w:val="0"/>
        <w:rPr>
          <w:rFonts w:ascii="Times New Roman" w:eastAsiaTheme="minorHAnsi" w:hAnsi="Times New Roman"/>
          <w:snapToGrid/>
          <w:sz w:val="22"/>
          <w:szCs w:val="22"/>
        </w:rPr>
      </w:pPr>
      <w:r w:rsidRPr="009F5CF2">
        <w:rPr>
          <w:rFonts w:ascii="Times New Roman" w:eastAsiaTheme="minorHAnsi" w:hAnsi="Times New Roman"/>
          <w:snapToGrid/>
          <w:sz w:val="22"/>
          <w:szCs w:val="22"/>
        </w:rPr>
        <w:t>Streams with Advanced Analytics (Wiley and SAS Business Series) 337 pages ISBN:</w:t>
      </w:r>
    </w:p>
    <w:p w:rsidR="005A51F6" w:rsidRPr="009F5CF2" w:rsidRDefault="005A51F6" w:rsidP="005A51F6">
      <w:pPr>
        <w:widowControl/>
        <w:autoSpaceDE w:val="0"/>
        <w:autoSpaceDN w:val="0"/>
        <w:adjustRightInd w:val="0"/>
        <w:rPr>
          <w:rFonts w:ascii="Times New Roman" w:eastAsiaTheme="minorHAnsi" w:hAnsi="Times New Roman"/>
          <w:snapToGrid/>
          <w:sz w:val="22"/>
          <w:szCs w:val="22"/>
        </w:rPr>
      </w:pPr>
      <w:r w:rsidRPr="009F5CF2">
        <w:rPr>
          <w:rFonts w:ascii="Times New Roman" w:eastAsiaTheme="minorHAnsi" w:hAnsi="Times New Roman"/>
          <w:snapToGrid/>
          <w:sz w:val="22"/>
          <w:szCs w:val="22"/>
        </w:rPr>
        <w:t>1118208781</w:t>
      </w:r>
    </w:p>
    <w:p w:rsidR="005A51F6" w:rsidRPr="009F5CF2" w:rsidRDefault="005A51F6" w:rsidP="005A51F6">
      <w:pPr>
        <w:widowControl/>
        <w:autoSpaceDE w:val="0"/>
        <w:autoSpaceDN w:val="0"/>
        <w:adjustRightInd w:val="0"/>
        <w:rPr>
          <w:rFonts w:ascii="Times New Roman" w:eastAsiaTheme="minorHAnsi" w:hAnsi="Times New Roman"/>
          <w:snapToGrid/>
          <w:sz w:val="22"/>
          <w:szCs w:val="22"/>
        </w:rPr>
      </w:pPr>
    </w:p>
    <w:p w:rsidR="005A51F6" w:rsidRPr="009F5CF2" w:rsidRDefault="005A51F6" w:rsidP="005A51F6">
      <w:pPr>
        <w:widowControl/>
        <w:autoSpaceDE w:val="0"/>
        <w:autoSpaceDN w:val="0"/>
        <w:adjustRightInd w:val="0"/>
        <w:rPr>
          <w:rFonts w:ascii="Times New Roman" w:eastAsiaTheme="minorHAnsi" w:hAnsi="Times New Roman"/>
          <w:snapToGrid/>
          <w:sz w:val="22"/>
          <w:szCs w:val="22"/>
        </w:rPr>
      </w:pPr>
      <w:r w:rsidRPr="009F5CF2">
        <w:rPr>
          <w:rFonts w:ascii="Times New Roman" w:eastAsiaTheme="minorHAnsi" w:hAnsi="Times New Roman"/>
          <w:snapToGrid/>
          <w:sz w:val="22"/>
          <w:szCs w:val="22"/>
        </w:rPr>
        <w:t>Thomas H. Davenport, Jeanne G. Harris (2010) Analytics at Work: Smarter Decisions, Better Results [Hardcover] 240 pages. Harvard Business Review Press</w:t>
      </w:r>
    </w:p>
    <w:p w:rsidR="005A51F6" w:rsidRPr="009F5CF2" w:rsidRDefault="005A51F6" w:rsidP="005A51F6">
      <w:pPr>
        <w:widowControl/>
        <w:autoSpaceDE w:val="0"/>
        <w:autoSpaceDN w:val="0"/>
        <w:adjustRightInd w:val="0"/>
        <w:rPr>
          <w:rFonts w:ascii="Times New Roman" w:eastAsiaTheme="minorHAnsi" w:hAnsi="Times New Roman"/>
          <w:snapToGrid/>
          <w:sz w:val="22"/>
          <w:szCs w:val="22"/>
        </w:rPr>
      </w:pPr>
    </w:p>
    <w:p w:rsidR="005A51F6" w:rsidRPr="009F5CF2" w:rsidRDefault="005A51F6" w:rsidP="005A51F6">
      <w:pPr>
        <w:widowControl/>
        <w:autoSpaceDE w:val="0"/>
        <w:autoSpaceDN w:val="0"/>
        <w:adjustRightInd w:val="0"/>
        <w:rPr>
          <w:rFonts w:ascii="Times New Roman" w:eastAsiaTheme="minorHAnsi" w:hAnsi="Times New Roman"/>
          <w:snapToGrid/>
          <w:sz w:val="22"/>
          <w:szCs w:val="22"/>
        </w:rPr>
      </w:pPr>
      <w:r w:rsidRPr="009F5CF2">
        <w:rPr>
          <w:rFonts w:ascii="Times New Roman" w:eastAsiaTheme="minorHAnsi" w:hAnsi="Times New Roman"/>
          <w:snapToGrid/>
          <w:sz w:val="22"/>
          <w:szCs w:val="22"/>
        </w:rPr>
        <w:t>Douglas W. Hubbard (2010) How to Measure Anything: Finding the Value of Intangibles in Business. (2nd edition) 320 pages. Wiley. ISBN-10: 0470539399; ISBN-13: 978-</w:t>
      </w:r>
    </w:p>
    <w:p w:rsidR="005A51F6" w:rsidRPr="009F5CF2" w:rsidRDefault="005A51F6" w:rsidP="005A51F6">
      <w:pPr>
        <w:tabs>
          <w:tab w:val="left" w:pos="-1080"/>
          <w:tab w:val="left" w:pos="-720"/>
          <w:tab w:val="left" w:pos="0"/>
          <w:tab w:val="left" w:pos="720"/>
          <w:tab w:val="left" w:pos="1440"/>
          <w:tab w:val="left" w:pos="2160"/>
          <w:tab w:val="left" w:pos="2880"/>
          <w:tab w:val="left" w:pos="3600"/>
          <w:tab w:val="left" w:pos="4320"/>
          <w:tab w:val="left" w:pos="5040"/>
          <w:tab w:val="left" w:pos="5670"/>
          <w:tab w:val="left" w:pos="6480"/>
        </w:tabs>
        <w:spacing w:line="232" w:lineRule="auto"/>
        <w:ind w:left="2160" w:hanging="2160"/>
        <w:rPr>
          <w:rFonts w:ascii="Times New Roman" w:hAnsi="Times New Roman"/>
          <w:sz w:val="22"/>
          <w:szCs w:val="22"/>
        </w:rPr>
      </w:pPr>
      <w:r w:rsidRPr="009F5CF2">
        <w:rPr>
          <w:rFonts w:ascii="Times New Roman" w:eastAsiaTheme="minorHAnsi" w:hAnsi="Times New Roman"/>
          <w:snapToGrid/>
          <w:sz w:val="22"/>
          <w:szCs w:val="22"/>
        </w:rPr>
        <w:t>0470539392</w:t>
      </w:r>
    </w:p>
    <w:p w:rsidR="005A51F6" w:rsidRPr="009F5CF2" w:rsidRDefault="005A51F6" w:rsidP="005A51F6">
      <w:pPr>
        <w:tabs>
          <w:tab w:val="left" w:pos="-1080"/>
          <w:tab w:val="left" w:pos="-720"/>
          <w:tab w:val="left" w:pos="0"/>
          <w:tab w:val="left" w:pos="720"/>
          <w:tab w:val="left" w:pos="1440"/>
          <w:tab w:val="left" w:pos="2160"/>
          <w:tab w:val="left" w:pos="2880"/>
          <w:tab w:val="left" w:pos="3600"/>
          <w:tab w:val="left" w:pos="4320"/>
          <w:tab w:val="left" w:pos="5040"/>
          <w:tab w:val="left" w:pos="5670"/>
          <w:tab w:val="left" w:pos="6480"/>
        </w:tabs>
        <w:spacing w:line="232" w:lineRule="auto"/>
        <w:ind w:left="2160" w:hanging="2160"/>
        <w:rPr>
          <w:rFonts w:ascii="Times New Roman" w:hAnsi="Times New Roman"/>
          <w:snapToGrid/>
          <w:sz w:val="22"/>
          <w:szCs w:val="22"/>
        </w:rPr>
      </w:pPr>
    </w:p>
    <w:p w:rsidR="005A51F6" w:rsidRPr="009F5CF2" w:rsidRDefault="005A51F6" w:rsidP="00876082">
      <w:pPr>
        <w:pStyle w:val="Heading1"/>
        <w:rPr>
          <w:sz w:val="22"/>
          <w:szCs w:val="22"/>
        </w:rPr>
      </w:pPr>
      <w:r w:rsidRPr="009F5CF2">
        <w:rPr>
          <w:sz w:val="22"/>
          <w:szCs w:val="22"/>
        </w:rPr>
        <w:t>Data Smart: Using Data Science to Transform Information into Insight [Paperback]</w:t>
      </w:r>
      <w:r w:rsidR="00876082" w:rsidRPr="009F5CF2">
        <w:rPr>
          <w:sz w:val="22"/>
          <w:szCs w:val="22"/>
        </w:rPr>
        <w:t xml:space="preserve"> </w:t>
      </w:r>
      <w:hyperlink r:id="rId6" w:history="1">
        <w:r w:rsidRPr="009F5CF2">
          <w:rPr>
            <w:sz w:val="22"/>
            <w:szCs w:val="22"/>
          </w:rPr>
          <w:t>John W. Foreman</w:t>
        </w:r>
      </w:hyperlink>
      <w:r w:rsidRPr="009F5CF2">
        <w:rPr>
          <w:sz w:val="22"/>
          <w:szCs w:val="22"/>
        </w:rPr>
        <w:t xml:space="preserve"> </w:t>
      </w:r>
    </w:p>
    <w:p w:rsidR="005A51F6" w:rsidRPr="009F5CF2" w:rsidRDefault="005A51F6" w:rsidP="005A51F6">
      <w:pPr>
        <w:tabs>
          <w:tab w:val="left" w:pos="-1080"/>
          <w:tab w:val="left" w:pos="-720"/>
          <w:tab w:val="left" w:pos="0"/>
          <w:tab w:val="left" w:pos="720"/>
          <w:tab w:val="left" w:pos="1440"/>
          <w:tab w:val="left" w:pos="2160"/>
          <w:tab w:val="left" w:pos="2880"/>
          <w:tab w:val="left" w:pos="3600"/>
          <w:tab w:val="left" w:pos="4320"/>
          <w:tab w:val="left" w:pos="5040"/>
          <w:tab w:val="left" w:pos="5670"/>
          <w:tab w:val="left" w:pos="6480"/>
        </w:tabs>
        <w:spacing w:line="232" w:lineRule="auto"/>
        <w:ind w:left="2160" w:hanging="2160"/>
        <w:rPr>
          <w:rFonts w:ascii="Times New Roman" w:hAnsi="Times New Roman"/>
          <w:b/>
          <w:sz w:val="22"/>
          <w:szCs w:val="22"/>
        </w:rPr>
      </w:pPr>
    </w:p>
    <w:p w:rsidR="005A51F6" w:rsidRPr="009F5CF2" w:rsidRDefault="005A51F6" w:rsidP="005A51F6">
      <w:pPr>
        <w:widowControl/>
        <w:autoSpaceDE w:val="0"/>
        <w:autoSpaceDN w:val="0"/>
        <w:adjustRightInd w:val="0"/>
        <w:rPr>
          <w:rFonts w:ascii="Times New Roman" w:eastAsiaTheme="minorHAnsi" w:hAnsi="Times New Roman"/>
          <w:snapToGrid/>
          <w:sz w:val="22"/>
          <w:szCs w:val="22"/>
        </w:rPr>
      </w:pPr>
    </w:p>
    <w:p w:rsidR="00876082" w:rsidRPr="009F5CF2" w:rsidRDefault="00876082" w:rsidP="00876082">
      <w:pPr>
        <w:tabs>
          <w:tab w:val="left" w:pos="-1080"/>
          <w:tab w:val="left" w:pos="-720"/>
          <w:tab w:val="left" w:pos="0"/>
          <w:tab w:val="left" w:pos="720"/>
          <w:tab w:val="left" w:pos="1440"/>
          <w:tab w:val="left" w:pos="2160"/>
          <w:tab w:val="left" w:pos="2880"/>
          <w:tab w:val="left" w:pos="3600"/>
          <w:tab w:val="left" w:pos="4320"/>
          <w:tab w:val="left" w:pos="5040"/>
          <w:tab w:val="left" w:pos="5670"/>
          <w:tab w:val="left" w:pos="6480"/>
        </w:tabs>
        <w:spacing w:line="232" w:lineRule="auto"/>
        <w:ind w:left="2160" w:hanging="2160"/>
        <w:rPr>
          <w:rFonts w:ascii="Times New Roman" w:hAnsi="Times New Roman"/>
          <w:b/>
          <w:color w:val="2E74B5" w:themeColor="accent1" w:themeShade="BF"/>
          <w:sz w:val="22"/>
          <w:szCs w:val="22"/>
          <w:u w:val="single"/>
        </w:rPr>
      </w:pPr>
      <w:r w:rsidRPr="009F5CF2">
        <w:rPr>
          <w:rFonts w:ascii="Times New Roman" w:hAnsi="Times New Roman"/>
          <w:b/>
          <w:color w:val="2E74B5" w:themeColor="accent1" w:themeShade="BF"/>
          <w:sz w:val="22"/>
          <w:szCs w:val="22"/>
          <w:u w:val="single"/>
        </w:rPr>
        <w:t xml:space="preserve">Tentative Schedule </w:t>
      </w:r>
    </w:p>
    <w:p w:rsidR="00A4173F" w:rsidRPr="009F5CF2" w:rsidRDefault="00876082" w:rsidP="00876082">
      <w:pPr>
        <w:widowControl/>
        <w:rPr>
          <w:rFonts w:ascii="Times New Roman" w:hAnsi="Times New Roman"/>
          <w:snapToGrid/>
          <w:color w:val="000000"/>
          <w:sz w:val="22"/>
          <w:szCs w:val="22"/>
        </w:rPr>
      </w:pPr>
      <w:r w:rsidRPr="009F5CF2">
        <w:rPr>
          <w:rFonts w:ascii="Times New Roman" w:hAnsi="Times New Roman"/>
          <w:snapToGrid/>
          <w:color w:val="000000"/>
          <w:sz w:val="22"/>
          <w:szCs w:val="22"/>
        </w:rPr>
        <w:t> </w:t>
      </w:r>
    </w:p>
    <w:tbl>
      <w:tblPr>
        <w:tblW w:w="7580" w:type="dxa"/>
        <w:tblLook w:val="04A0" w:firstRow="1" w:lastRow="0" w:firstColumn="1" w:lastColumn="0" w:noHBand="0" w:noVBand="1"/>
      </w:tblPr>
      <w:tblGrid>
        <w:gridCol w:w="754"/>
        <w:gridCol w:w="4737"/>
        <w:gridCol w:w="2225"/>
      </w:tblGrid>
      <w:tr w:rsidR="00A4173F" w:rsidRPr="009F5CF2" w:rsidTr="00A4173F">
        <w:trPr>
          <w:trHeight w:val="510"/>
        </w:trPr>
        <w:tc>
          <w:tcPr>
            <w:tcW w:w="7580"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4173F" w:rsidRPr="009F5CF2" w:rsidRDefault="00A4173F" w:rsidP="00A4173F">
            <w:pPr>
              <w:widowControl/>
              <w:jc w:val="center"/>
              <w:rPr>
                <w:rFonts w:ascii="Times New Roman" w:hAnsi="Times New Roman"/>
                <w:b/>
                <w:bCs/>
                <w:snapToGrid/>
                <w:color w:val="000000"/>
                <w:sz w:val="22"/>
                <w:szCs w:val="22"/>
              </w:rPr>
            </w:pPr>
            <w:r w:rsidRPr="009F5CF2">
              <w:rPr>
                <w:rFonts w:ascii="Times New Roman" w:hAnsi="Times New Roman"/>
                <w:b/>
                <w:bCs/>
                <w:snapToGrid/>
                <w:color w:val="000000"/>
                <w:sz w:val="22"/>
                <w:szCs w:val="22"/>
              </w:rPr>
              <w:t>High Level Schedule</w:t>
            </w:r>
          </w:p>
        </w:tc>
      </w:tr>
      <w:tr w:rsidR="00A4173F" w:rsidRPr="009F5CF2" w:rsidTr="00A4173F">
        <w:trPr>
          <w:trHeight w:val="570"/>
        </w:trPr>
        <w:tc>
          <w:tcPr>
            <w:tcW w:w="618" w:type="dxa"/>
            <w:tcBorders>
              <w:top w:val="nil"/>
              <w:left w:val="single" w:sz="4" w:space="0" w:color="auto"/>
              <w:bottom w:val="single" w:sz="4" w:space="0" w:color="auto"/>
              <w:right w:val="single" w:sz="4" w:space="0" w:color="auto"/>
            </w:tcBorders>
            <w:shd w:val="clear" w:color="000000" w:fill="D9D9D9"/>
            <w:noWrap/>
            <w:vAlign w:val="bottom"/>
            <w:hideMark/>
          </w:tcPr>
          <w:p w:rsidR="00A4173F" w:rsidRPr="009F5CF2" w:rsidRDefault="00A4173F" w:rsidP="00A4173F">
            <w:pPr>
              <w:widowControl/>
              <w:jc w:val="center"/>
              <w:rPr>
                <w:rFonts w:ascii="Times New Roman" w:hAnsi="Times New Roman"/>
                <w:b/>
                <w:bCs/>
                <w:snapToGrid/>
                <w:color w:val="000000"/>
                <w:sz w:val="22"/>
                <w:szCs w:val="22"/>
              </w:rPr>
            </w:pPr>
            <w:r w:rsidRPr="009F5CF2">
              <w:rPr>
                <w:rFonts w:ascii="Times New Roman" w:hAnsi="Times New Roman"/>
                <w:b/>
                <w:bCs/>
                <w:snapToGrid/>
                <w:color w:val="000000"/>
                <w:sz w:val="22"/>
                <w:szCs w:val="22"/>
              </w:rPr>
              <w:t>Week</w:t>
            </w:r>
          </w:p>
        </w:tc>
        <w:tc>
          <w:tcPr>
            <w:tcW w:w="4737" w:type="dxa"/>
            <w:tcBorders>
              <w:top w:val="nil"/>
              <w:left w:val="nil"/>
              <w:bottom w:val="single" w:sz="4" w:space="0" w:color="auto"/>
              <w:right w:val="single" w:sz="4" w:space="0" w:color="auto"/>
            </w:tcBorders>
            <w:shd w:val="clear" w:color="000000" w:fill="D9D9D9"/>
            <w:noWrap/>
            <w:vAlign w:val="bottom"/>
            <w:hideMark/>
          </w:tcPr>
          <w:p w:rsidR="00A4173F" w:rsidRPr="009F5CF2" w:rsidRDefault="00A4173F" w:rsidP="00A4173F">
            <w:pPr>
              <w:widowControl/>
              <w:jc w:val="center"/>
              <w:rPr>
                <w:rFonts w:ascii="Times New Roman" w:hAnsi="Times New Roman"/>
                <w:b/>
                <w:bCs/>
                <w:snapToGrid/>
                <w:color w:val="000000"/>
                <w:sz w:val="22"/>
                <w:szCs w:val="22"/>
              </w:rPr>
            </w:pPr>
            <w:r w:rsidRPr="009F5CF2">
              <w:rPr>
                <w:rFonts w:ascii="Times New Roman" w:hAnsi="Times New Roman"/>
                <w:b/>
                <w:bCs/>
                <w:snapToGrid/>
                <w:color w:val="000000"/>
                <w:sz w:val="22"/>
                <w:szCs w:val="22"/>
              </w:rPr>
              <w:t>Subject area</w:t>
            </w:r>
          </w:p>
        </w:tc>
        <w:tc>
          <w:tcPr>
            <w:tcW w:w="2225" w:type="dxa"/>
            <w:tcBorders>
              <w:top w:val="nil"/>
              <w:left w:val="nil"/>
              <w:bottom w:val="single" w:sz="4" w:space="0" w:color="auto"/>
              <w:right w:val="single" w:sz="4" w:space="0" w:color="auto"/>
            </w:tcBorders>
            <w:shd w:val="clear" w:color="000000" w:fill="D9D9D9"/>
            <w:vAlign w:val="bottom"/>
            <w:hideMark/>
          </w:tcPr>
          <w:p w:rsidR="00A4173F" w:rsidRPr="009F5CF2" w:rsidRDefault="00A4173F" w:rsidP="00A4173F">
            <w:pPr>
              <w:widowControl/>
              <w:jc w:val="center"/>
              <w:rPr>
                <w:rFonts w:ascii="Times New Roman" w:hAnsi="Times New Roman"/>
                <w:b/>
                <w:bCs/>
                <w:snapToGrid/>
                <w:color w:val="000000"/>
                <w:sz w:val="22"/>
                <w:szCs w:val="22"/>
              </w:rPr>
            </w:pPr>
            <w:r w:rsidRPr="009F5CF2">
              <w:rPr>
                <w:rFonts w:ascii="Times New Roman" w:hAnsi="Times New Roman"/>
                <w:b/>
                <w:bCs/>
                <w:snapToGrid/>
                <w:color w:val="000000"/>
                <w:sz w:val="22"/>
                <w:szCs w:val="22"/>
              </w:rPr>
              <w:t>Guest Lecture (Tentative)</w:t>
            </w:r>
          </w:p>
        </w:tc>
      </w:tr>
      <w:tr w:rsidR="00A4173F" w:rsidRPr="009F5CF2" w:rsidTr="00A4173F">
        <w:trPr>
          <w:trHeight w:val="42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4173F" w:rsidRPr="009F5CF2" w:rsidRDefault="00A4173F" w:rsidP="00A4173F">
            <w:pPr>
              <w:widowControl/>
              <w:jc w:val="right"/>
              <w:rPr>
                <w:rFonts w:ascii="Times New Roman" w:hAnsi="Times New Roman"/>
                <w:snapToGrid/>
                <w:color w:val="000000"/>
                <w:sz w:val="22"/>
                <w:szCs w:val="22"/>
              </w:rPr>
            </w:pPr>
            <w:r w:rsidRPr="009F5CF2">
              <w:rPr>
                <w:rFonts w:ascii="Times New Roman" w:hAnsi="Times New Roman"/>
                <w:snapToGrid/>
                <w:color w:val="000000"/>
                <w:sz w:val="22"/>
                <w:szCs w:val="22"/>
              </w:rPr>
              <w:t>1</w:t>
            </w:r>
          </w:p>
        </w:tc>
        <w:tc>
          <w:tcPr>
            <w:tcW w:w="4737" w:type="dxa"/>
            <w:tcBorders>
              <w:top w:val="nil"/>
              <w:left w:val="nil"/>
              <w:bottom w:val="single" w:sz="4" w:space="0" w:color="auto"/>
              <w:right w:val="single" w:sz="4" w:space="0" w:color="auto"/>
            </w:tcBorders>
            <w:shd w:val="clear" w:color="auto" w:fill="auto"/>
            <w:noWrap/>
            <w:vAlign w:val="bottom"/>
            <w:hideMark/>
          </w:tcPr>
          <w:p w:rsidR="00A4173F" w:rsidRPr="009F5CF2" w:rsidRDefault="00A4173F" w:rsidP="00A4173F">
            <w:pPr>
              <w:widowControl/>
              <w:rPr>
                <w:rFonts w:ascii="Times New Roman" w:hAnsi="Times New Roman"/>
                <w:snapToGrid/>
                <w:color w:val="000000"/>
                <w:sz w:val="22"/>
                <w:szCs w:val="22"/>
              </w:rPr>
            </w:pPr>
            <w:r w:rsidRPr="009F5CF2">
              <w:rPr>
                <w:rFonts w:ascii="Times New Roman" w:hAnsi="Times New Roman"/>
                <w:snapToGrid/>
                <w:color w:val="000000"/>
                <w:sz w:val="22"/>
                <w:szCs w:val="22"/>
              </w:rPr>
              <w:t>Data Science &amp; Leaders</w:t>
            </w:r>
          </w:p>
        </w:tc>
        <w:tc>
          <w:tcPr>
            <w:tcW w:w="2225" w:type="dxa"/>
            <w:tcBorders>
              <w:top w:val="nil"/>
              <w:left w:val="nil"/>
              <w:bottom w:val="single" w:sz="4" w:space="0" w:color="auto"/>
              <w:right w:val="single" w:sz="4" w:space="0" w:color="auto"/>
            </w:tcBorders>
            <w:shd w:val="clear" w:color="auto" w:fill="auto"/>
            <w:noWrap/>
            <w:vAlign w:val="bottom"/>
            <w:hideMark/>
          </w:tcPr>
          <w:p w:rsidR="00A4173F" w:rsidRPr="009F5CF2" w:rsidRDefault="00A4173F" w:rsidP="00A4173F">
            <w:pPr>
              <w:widowControl/>
              <w:rPr>
                <w:rFonts w:ascii="Times New Roman" w:hAnsi="Times New Roman"/>
                <w:snapToGrid/>
                <w:color w:val="000000"/>
                <w:sz w:val="22"/>
                <w:szCs w:val="22"/>
              </w:rPr>
            </w:pPr>
            <w:r w:rsidRPr="009F5CF2">
              <w:rPr>
                <w:rFonts w:ascii="Times New Roman" w:hAnsi="Times New Roman"/>
                <w:snapToGrid/>
                <w:color w:val="000000"/>
                <w:sz w:val="22"/>
                <w:szCs w:val="22"/>
              </w:rPr>
              <w:t> </w:t>
            </w:r>
          </w:p>
        </w:tc>
      </w:tr>
      <w:tr w:rsidR="00A4173F" w:rsidRPr="009F5CF2" w:rsidTr="00A4173F">
        <w:trPr>
          <w:trHeight w:val="42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4173F" w:rsidRPr="009F5CF2" w:rsidRDefault="00A4173F" w:rsidP="00A4173F">
            <w:pPr>
              <w:widowControl/>
              <w:jc w:val="right"/>
              <w:rPr>
                <w:rFonts w:ascii="Times New Roman" w:hAnsi="Times New Roman"/>
                <w:snapToGrid/>
                <w:color w:val="000000"/>
                <w:sz w:val="22"/>
                <w:szCs w:val="22"/>
              </w:rPr>
            </w:pPr>
            <w:r w:rsidRPr="009F5CF2">
              <w:rPr>
                <w:rFonts w:ascii="Times New Roman" w:hAnsi="Times New Roman"/>
                <w:snapToGrid/>
                <w:color w:val="000000"/>
                <w:sz w:val="22"/>
                <w:szCs w:val="22"/>
              </w:rPr>
              <w:t>2</w:t>
            </w:r>
          </w:p>
        </w:tc>
        <w:tc>
          <w:tcPr>
            <w:tcW w:w="4737" w:type="dxa"/>
            <w:tcBorders>
              <w:top w:val="nil"/>
              <w:left w:val="nil"/>
              <w:bottom w:val="single" w:sz="4" w:space="0" w:color="auto"/>
              <w:right w:val="single" w:sz="4" w:space="0" w:color="auto"/>
            </w:tcBorders>
            <w:shd w:val="clear" w:color="auto" w:fill="auto"/>
            <w:noWrap/>
            <w:vAlign w:val="bottom"/>
            <w:hideMark/>
          </w:tcPr>
          <w:p w:rsidR="00A4173F" w:rsidRPr="009F5CF2" w:rsidRDefault="00A4173F" w:rsidP="00A4173F">
            <w:pPr>
              <w:widowControl/>
              <w:rPr>
                <w:rFonts w:ascii="Times New Roman" w:hAnsi="Times New Roman"/>
                <w:snapToGrid/>
                <w:color w:val="000000"/>
                <w:sz w:val="22"/>
                <w:szCs w:val="22"/>
              </w:rPr>
            </w:pPr>
            <w:r w:rsidRPr="009F5CF2">
              <w:rPr>
                <w:rFonts w:ascii="Times New Roman" w:hAnsi="Times New Roman"/>
                <w:snapToGrid/>
                <w:color w:val="000000"/>
                <w:sz w:val="22"/>
                <w:szCs w:val="22"/>
              </w:rPr>
              <w:t xml:space="preserve">Leveraging Data </w:t>
            </w:r>
          </w:p>
        </w:tc>
        <w:tc>
          <w:tcPr>
            <w:tcW w:w="2225" w:type="dxa"/>
            <w:tcBorders>
              <w:top w:val="nil"/>
              <w:left w:val="nil"/>
              <w:bottom w:val="single" w:sz="4" w:space="0" w:color="auto"/>
              <w:right w:val="single" w:sz="4" w:space="0" w:color="auto"/>
            </w:tcBorders>
            <w:shd w:val="clear" w:color="auto" w:fill="auto"/>
            <w:noWrap/>
            <w:vAlign w:val="bottom"/>
            <w:hideMark/>
          </w:tcPr>
          <w:p w:rsidR="00A4173F" w:rsidRPr="009F5CF2" w:rsidRDefault="00A4173F" w:rsidP="00A4173F">
            <w:pPr>
              <w:widowControl/>
              <w:rPr>
                <w:rFonts w:ascii="Times New Roman" w:hAnsi="Times New Roman"/>
                <w:snapToGrid/>
                <w:color w:val="000000"/>
                <w:sz w:val="22"/>
                <w:szCs w:val="22"/>
              </w:rPr>
            </w:pPr>
            <w:r w:rsidRPr="009F5CF2">
              <w:rPr>
                <w:rFonts w:ascii="Times New Roman" w:hAnsi="Times New Roman"/>
                <w:snapToGrid/>
                <w:color w:val="000000"/>
                <w:sz w:val="22"/>
                <w:szCs w:val="22"/>
              </w:rPr>
              <w:t> </w:t>
            </w:r>
          </w:p>
        </w:tc>
      </w:tr>
      <w:tr w:rsidR="00A4173F" w:rsidRPr="009F5CF2" w:rsidTr="00A4173F">
        <w:trPr>
          <w:trHeight w:val="42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4173F" w:rsidRPr="009F5CF2" w:rsidRDefault="00A4173F" w:rsidP="00A4173F">
            <w:pPr>
              <w:widowControl/>
              <w:jc w:val="right"/>
              <w:rPr>
                <w:rFonts w:ascii="Times New Roman" w:hAnsi="Times New Roman"/>
                <w:snapToGrid/>
                <w:color w:val="000000"/>
                <w:sz w:val="22"/>
                <w:szCs w:val="22"/>
              </w:rPr>
            </w:pPr>
            <w:r w:rsidRPr="009F5CF2">
              <w:rPr>
                <w:rFonts w:ascii="Times New Roman" w:hAnsi="Times New Roman"/>
                <w:snapToGrid/>
                <w:color w:val="000000"/>
                <w:sz w:val="22"/>
                <w:szCs w:val="22"/>
              </w:rPr>
              <w:t>3</w:t>
            </w:r>
          </w:p>
        </w:tc>
        <w:tc>
          <w:tcPr>
            <w:tcW w:w="4737" w:type="dxa"/>
            <w:tcBorders>
              <w:top w:val="nil"/>
              <w:left w:val="nil"/>
              <w:bottom w:val="single" w:sz="4" w:space="0" w:color="auto"/>
              <w:right w:val="single" w:sz="4" w:space="0" w:color="auto"/>
            </w:tcBorders>
            <w:shd w:val="clear" w:color="auto" w:fill="auto"/>
            <w:noWrap/>
            <w:vAlign w:val="bottom"/>
            <w:hideMark/>
          </w:tcPr>
          <w:p w:rsidR="00A4173F" w:rsidRPr="009F5CF2" w:rsidRDefault="00A4173F" w:rsidP="00A4173F">
            <w:pPr>
              <w:widowControl/>
              <w:rPr>
                <w:rFonts w:ascii="Times New Roman" w:hAnsi="Times New Roman"/>
                <w:snapToGrid/>
                <w:color w:val="000000"/>
                <w:sz w:val="22"/>
                <w:szCs w:val="22"/>
              </w:rPr>
            </w:pPr>
            <w:r w:rsidRPr="009F5CF2">
              <w:rPr>
                <w:rFonts w:ascii="Times New Roman" w:hAnsi="Times New Roman"/>
                <w:snapToGrid/>
                <w:color w:val="000000"/>
                <w:sz w:val="22"/>
                <w:szCs w:val="22"/>
              </w:rPr>
              <w:t>Strategic Management of Enterprise Analytics</w:t>
            </w:r>
          </w:p>
        </w:tc>
        <w:tc>
          <w:tcPr>
            <w:tcW w:w="2225" w:type="dxa"/>
            <w:tcBorders>
              <w:top w:val="nil"/>
              <w:left w:val="nil"/>
              <w:bottom w:val="single" w:sz="4" w:space="0" w:color="auto"/>
              <w:right w:val="single" w:sz="4" w:space="0" w:color="auto"/>
            </w:tcBorders>
            <w:shd w:val="clear" w:color="auto" w:fill="auto"/>
            <w:noWrap/>
            <w:vAlign w:val="bottom"/>
            <w:hideMark/>
          </w:tcPr>
          <w:p w:rsidR="00A4173F" w:rsidRPr="009F5CF2" w:rsidRDefault="00A4173F" w:rsidP="00A4173F">
            <w:pPr>
              <w:widowControl/>
              <w:rPr>
                <w:rFonts w:ascii="Times New Roman" w:hAnsi="Times New Roman"/>
                <w:snapToGrid/>
                <w:color w:val="000000"/>
                <w:sz w:val="22"/>
                <w:szCs w:val="22"/>
              </w:rPr>
            </w:pPr>
            <w:r w:rsidRPr="009F5CF2">
              <w:rPr>
                <w:rFonts w:ascii="Times New Roman" w:hAnsi="Times New Roman"/>
                <w:snapToGrid/>
                <w:color w:val="000000"/>
                <w:sz w:val="22"/>
                <w:szCs w:val="22"/>
              </w:rPr>
              <w:t> </w:t>
            </w:r>
          </w:p>
        </w:tc>
      </w:tr>
      <w:tr w:rsidR="00A4173F" w:rsidRPr="009F5CF2" w:rsidTr="00A4173F">
        <w:trPr>
          <w:trHeight w:val="42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4173F" w:rsidRPr="009F5CF2" w:rsidRDefault="00A4173F" w:rsidP="00A4173F">
            <w:pPr>
              <w:widowControl/>
              <w:jc w:val="right"/>
              <w:rPr>
                <w:rFonts w:ascii="Times New Roman" w:hAnsi="Times New Roman"/>
                <w:snapToGrid/>
                <w:color w:val="000000"/>
                <w:sz w:val="22"/>
                <w:szCs w:val="22"/>
              </w:rPr>
            </w:pPr>
            <w:r w:rsidRPr="009F5CF2">
              <w:rPr>
                <w:rFonts w:ascii="Times New Roman" w:hAnsi="Times New Roman"/>
                <w:snapToGrid/>
                <w:color w:val="000000"/>
                <w:sz w:val="22"/>
                <w:szCs w:val="22"/>
              </w:rPr>
              <w:t>4</w:t>
            </w:r>
          </w:p>
        </w:tc>
        <w:tc>
          <w:tcPr>
            <w:tcW w:w="4737" w:type="dxa"/>
            <w:tcBorders>
              <w:top w:val="nil"/>
              <w:left w:val="nil"/>
              <w:bottom w:val="single" w:sz="4" w:space="0" w:color="auto"/>
              <w:right w:val="single" w:sz="4" w:space="0" w:color="auto"/>
            </w:tcBorders>
            <w:shd w:val="clear" w:color="auto" w:fill="auto"/>
            <w:noWrap/>
            <w:vAlign w:val="bottom"/>
            <w:hideMark/>
          </w:tcPr>
          <w:p w:rsidR="000473C9" w:rsidRDefault="000473C9" w:rsidP="00A4173F">
            <w:pPr>
              <w:widowControl/>
              <w:rPr>
                <w:rFonts w:ascii="Times New Roman" w:hAnsi="Times New Roman"/>
                <w:iCs/>
                <w:snapToGrid/>
                <w:color w:val="000000"/>
                <w:sz w:val="22"/>
                <w:szCs w:val="22"/>
              </w:rPr>
            </w:pPr>
            <w:r>
              <w:rPr>
                <w:rFonts w:ascii="Times New Roman" w:hAnsi="Times New Roman"/>
                <w:iCs/>
                <w:snapToGrid/>
                <w:color w:val="000000"/>
                <w:sz w:val="22"/>
                <w:szCs w:val="22"/>
              </w:rPr>
              <w:t>Innovation</w:t>
            </w:r>
          </w:p>
          <w:p w:rsidR="00A4173F" w:rsidRPr="009F5CF2" w:rsidRDefault="00A4173F" w:rsidP="00A4173F">
            <w:pPr>
              <w:widowControl/>
              <w:rPr>
                <w:rFonts w:ascii="Times New Roman" w:hAnsi="Times New Roman"/>
                <w:i/>
                <w:iCs/>
                <w:snapToGrid/>
                <w:color w:val="000000"/>
                <w:sz w:val="22"/>
                <w:szCs w:val="22"/>
              </w:rPr>
            </w:pPr>
            <w:r w:rsidRPr="009F5CF2">
              <w:rPr>
                <w:rFonts w:ascii="Times New Roman" w:hAnsi="Times New Roman"/>
                <w:i/>
                <w:iCs/>
                <w:snapToGrid/>
                <w:color w:val="000000"/>
                <w:sz w:val="22"/>
                <w:szCs w:val="22"/>
              </w:rPr>
              <w:t>Group Case Study- 1: Presentations</w:t>
            </w:r>
          </w:p>
        </w:tc>
        <w:tc>
          <w:tcPr>
            <w:tcW w:w="2225" w:type="dxa"/>
            <w:tcBorders>
              <w:top w:val="nil"/>
              <w:left w:val="nil"/>
              <w:bottom w:val="single" w:sz="4" w:space="0" w:color="auto"/>
              <w:right w:val="single" w:sz="4" w:space="0" w:color="auto"/>
            </w:tcBorders>
            <w:shd w:val="clear" w:color="auto" w:fill="auto"/>
            <w:noWrap/>
            <w:vAlign w:val="bottom"/>
            <w:hideMark/>
          </w:tcPr>
          <w:p w:rsidR="00A4173F" w:rsidRPr="009F5CF2" w:rsidRDefault="00A4173F" w:rsidP="00A4173F">
            <w:pPr>
              <w:widowControl/>
              <w:rPr>
                <w:rFonts w:ascii="Times New Roman" w:hAnsi="Times New Roman"/>
                <w:snapToGrid/>
                <w:color w:val="000000"/>
                <w:sz w:val="22"/>
                <w:szCs w:val="22"/>
              </w:rPr>
            </w:pPr>
          </w:p>
        </w:tc>
      </w:tr>
      <w:tr w:rsidR="00A4173F" w:rsidRPr="009F5CF2" w:rsidTr="00A4173F">
        <w:trPr>
          <w:trHeight w:val="42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4173F" w:rsidRPr="009F5CF2" w:rsidRDefault="00A4173F" w:rsidP="00A4173F">
            <w:pPr>
              <w:widowControl/>
              <w:jc w:val="right"/>
              <w:rPr>
                <w:rFonts w:ascii="Times New Roman" w:hAnsi="Times New Roman"/>
                <w:snapToGrid/>
                <w:color w:val="000000"/>
                <w:sz w:val="22"/>
                <w:szCs w:val="22"/>
              </w:rPr>
            </w:pPr>
            <w:r w:rsidRPr="009F5CF2">
              <w:rPr>
                <w:rFonts w:ascii="Times New Roman" w:hAnsi="Times New Roman"/>
                <w:snapToGrid/>
                <w:color w:val="000000"/>
                <w:sz w:val="22"/>
                <w:szCs w:val="22"/>
              </w:rPr>
              <w:t>5</w:t>
            </w:r>
          </w:p>
        </w:tc>
        <w:tc>
          <w:tcPr>
            <w:tcW w:w="4737" w:type="dxa"/>
            <w:tcBorders>
              <w:top w:val="nil"/>
              <w:left w:val="nil"/>
              <w:bottom w:val="single" w:sz="4" w:space="0" w:color="auto"/>
              <w:right w:val="single" w:sz="4" w:space="0" w:color="auto"/>
            </w:tcBorders>
            <w:shd w:val="clear" w:color="auto" w:fill="auto"/>
            <w:noWrap/>
            <w:vAlign w:val="bottom"/>
            <w:hideMark/>
          </w:tcPr>
          <w:p w:rsidR="00A4173F" w:rsidRPr="009F5CF2" w:rsidRDefault="000473C9" w:rsidP="00A4173F">
            <w:pPr>
              <w:widowControl/>
              <w:rPr>
                <w:rFonts w:ascii="Times New Roman" w:hAnsi="Times New Roman"/>
                <w:snapToGrid/>
                <w:color w:val="000000"/>
                <w:sz w:val="22"/>
                <w:szCs w:val="22"/>
              </w:rPr>
            </w:pPr>
            <w:r>
              <w:rPr>
                <w:rFonts w:ascii="Times New Roman" w:hAnsi="Times New Roman"/>
                <w:snapToGrid/>
                <w:color w:val="000000"/>
                <w:sz w:val="22"/>
                <w:szCs w:val="22"/>
              </w:rPr>
              <w:t>Decision Making</w:t>
            </w:r>
          </w:p>
        </w:tc>
        <w:tc>
          <w:tcPr>
            <w:tcW w:w="2225" w:type="dxa"/>
            <w:tcBorders>
              <w:top w:val="nil"/>
              <w:left w:val="nil"/>
              <w:bottom w:val="single" w:sz="4" w:space="0" w:color="auto"/>
              <w:right w:val="single" w:sz="4" w:space="0" w:color="auto"/>
            </w:tcBorders>
            <w:shd w:val="clear" w:color="auto" w:fill="auto"/>
            <w:noWrap/>
            <w:vAlign w:val="bottom"/>
            <w:hideMark/>
          </w:tcPr>
          <w:p w:rsidR="00A4173F" w:rsidRPr="009F5CF2" w:rsidRDefault="00A4173F" w:rsidP="00A4173F">
            <w:pPr>
              <w:widowControl/>
              <w:rPr>
                <w:rFonts w:ascii="Times New Roman" w:hAnsi="Times New Roman"/>
                <w:snapToGrid/>
                <w:color w:val="000000"/>
                <w:sz w:val="22"/>
                <w:szCs w:val="22"/>
              </w:rPr>
            </w:pPr>
            <w:r w:rsidRPr="009F5CF2">
              <w:rPr>
                <w:rFonts w:ascii="Times New Roman" w:hAnsi="Times New Roman"/>
                <w:snapToGrid/>
                <w:color w:val="000000"/>
                <w:sz w:val="22"/>
                <w:szCs w:val="22"/>
              </w:rPr>
              <w:t xml:space="preserve">Guest Lecture: </w:t>
            </w:r>
            <w:r w:rsidR="000473C9">
              <w:rPr>
                <w:rFonts w:ascii="Times New Roman" w:hAnsi="Times New Roman"/>
                <w:snapToGrid/>
                <w:color w:val="000000"/>
                <w:sz w:val="22"/>
                <w:szCs w:val="22"/>
              </w:rPr>
              <w:t>1</w:t>
            </w:r>
          </w:p>
        </w:tc>
      </w:tr>
      <w:tr w:rsidR="00A4173F" w:rsidRPr="009F5CF2" w:rsidTr="00A4173F">
        <w:trPr>
          <w:trHeight w:val="42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4173F" w:rsidRPr="009F5CF2" w:rsidRDefault="00A4173F" w:rsidP="00A4173F">
            <w:pPr>
              <w:widowControl/>
              <w:jc w:val="right"/>
              <w:rPr>
                <w:rFonts w:ascii="Times New Roman" w:hAnsi="Times New Roman"/>
                <w:snapToGrid/>
                <w:color w:val="000000"/>
                <w:sz w:val="22"/>
                <w:szCs w:val="22"/>
              </w:rPr>
            </w:pPr>
            <w:r w:rsidRPr="009F5CF2">
              <w:rPr>
                <w:rFonts w:ascii="Times New Roman" w:hAnsi="Times New Roman"/>
                <w:snapToGrid/>
                <w:color w:val="000000"/>
                <w:sz w:val="22"/>
                <w:szCs w:val="22"/>
              </w:rPr>
              <w:t>6</w:t>
            </w:r>
          </w:p>
        </w:tc>
        <w:tc>
          <w:tcPr>
            <w:tcW w:w="4737" w:type="dxa"/>
            <w:tcBorders>
              <w:top w:val="nil"/>
              <w:left w:val="nil"/>
              <w:bottom w:val="single" w:sz="4" w:space="0" w:color="auto"/>
              <w:right w:val="single" w:sz="4" w:space="0" w:color="auto"/>
            </w:tcBorders>
            <w:shd w:val="clear" w:color="auto" w:fill="auto"/>
            <w:noWrap/>
            <w:vAlign w:val="bottom"/>
            <w:hideMark/>
          </w:tcPr>
          <w:p w:rsidR="00A4173F" w:rsidRPr="009F5CF2" w:rsidRDefault="000473C9" w:rsidP="00A4173F">
            <w:pPr>
              <w:widowControl/>
              <w:rPr>
                <w:rFonts w:ascii="Times New Roman" w:hAnsi="Times New Roman"/>
                <w:snapToGrid/>
                <w:color w:val="000000"/>
                <w:sz w:val="22"/>
                <w:szCs w:val="22"/>
              </w:rPr>
            </w:pPr>
            <w:r>
              <w:rPr>
                <w:rFonts w:ascii="Times New Roman" w:hAnsi="Times New Roman"/>
                <w:snapToGrid/>
                <w:color w:val="000000"/>
                <w:sz w:val="22"/>
                <w:szCs w:val="22"/>
              </w:rPr>
              <w:t>Data Governance</w:t>
            </w:r>
          </w:p>
        </w:tc>
        <w:tc>
          <w:tcPr>
            <w:tcW w:w="2225" w:type="dxa"/>
            <w:tcBorders>
              <w:top w:val="nil"/>
              <w:left w:val="nil"/>
              <w:bottom w:val="single" w:sz="4" w:space="0" w:color="auto"/>
              <w:right w:val="single" w:sz="4" w:space="0" w:color="auto"/>
            </w:tcBorders>
            <w:shd w:val="clear" w:color="auto" w:fill="auto"/>
            <w:noWrap/>
            <w:vAlign w:val="bottom"/>
            <w:hideMark/>
          </w:tcPr>
          <w:p w:rsidR="00A4173F" w:rsidRPr="009F5CF2" w:rsidRDefault="000473C9" w:rsidP="00A4173F">
            <w:pPr>
              <w:widowControl/>
              <w:rPr>
                <w:rFonts w:ascii="Times New Roman" w:hAnsi="Times New Roman"/>
                <w:snapToGrid/>
                <w:color w:val="000000"/>
                <w:sz w:val="22"/>
                <w:szCs w:val="22"/>
              </w:rPr>
            </w:pPr>
            <w:r>
              <w:rPr>
                <w:rFonts w:ascii="Times New Roman" w:hAnsi="Times New Roman"/>
                <w:snapToGrid/>
                <w:color w:val="000000"/>
                <w:sz w:val="22"/>
                <w:szCs w:val="22"/>
              </w:rPr>
              <w:t>Guest Lecture: 2</w:t>
            </w:r>
          </w:p>
        </w:tc>
      </w:tr>
      <w:tr w:rsidR="00A4173F" w:rsidRPr="009F5CF2" w:rsidTr="00A4173F">
        <w:trPr>
          <w:trHeight w:val="6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4173F" w:rsidRPr="009F5CF2" w:rsidRDefault="00A4173F" w:rsidP="00A4173F">
            <w:pPr>
              <w:widowControl/>
              <w:jc w:val="right"/>
              <w:rPr>
                <w:rFonts w:ascii="Times New Roman" w:hAnsi="Times New Roman"/>
                <w:snapToGrid/>
                <w:color w:val="000000"/>
                <w:sz w:val="22"/>
                <w:szCs w:val="22"/>
              </w:rPr>
            </w:pPr>
            <w:r w:rsidRPr="009F5CF2">
              <w:rPr>
                <w:rFonts w:ascii="Times New Roman" w:hAnsi="Times New Roman"/>
                <w:snapToGrid/>
                <w:color w:val="000000"/>
                <w:sz w:val="22"/>
                <w:szCs w:val="22"/>
              </w:rPr>
              <w:t>7</w:t>
            </w:r>
          </w:p>
        </w:tc>
        <w:tc>
          <w:tcPr>
            <w:tcW w:w="4737" w:type="dxa"/>
            <w:tcBorders>
              <w:top w:val="nil"/>
              <w:left w:val="nil"/>
              <w:bottom w:val="single" w:sz="4" w:space="0" w:color="auto"/>
              <w:right w:val="single" w:sz="4" w:space="0" w:color="auto"/>
            </w:tcBorders>
            <w:shd w:val="clear" w:color="auto" w:fill="auto"/>
            <w:vAlign w:val="bottom"/>
            <w:hideMark/>
          </w:tcPr>
          <w:p w:rsidR="00A4173F" w:rsidRPr="009F5CF2" w:rsidRDefault="000473C9" w:rsidP="00A4173F">
            <w:pPr>
              <w:widowControl/>
              <w:rPr>
                <w:rFonts w:ascii="Times New Roman" w:hAnsi="Times New Roman"/>
                <w:snapToGrid/>
                <w:color w:val="000000"/>
                <w:sz w:val="22"/>
                <w:szCs w:val="22"/>
              </w:rPr>
            </w:pPr>
            <w:r>
              <w:rPr>
                <w:rFonts w:ascii="Times New Roman" w:hAnsi="Times New Roman"/>
                <w:snapToGrid/>
                <w:color w:val="000000"/>
                <w:sz w:val="22"/>
                <w:szCs w:val="22"/>
              </w:rPr>
              <w:t>Project Management</w:t>
            </w:r>
          </w:p>
        </w:tc>
        <w:tc>
          <w:tcPr>
            <w:tcW w:w="2225" w:type="dxa"/>
            <w:tcBorders>
              <w:top w:val="nil"/>
              <w:left w:val="nil"/>
              <w:bottom w:val="single" w:sz="4" w:space="0" w:color="auto"/>
              <w:right w:val="single" w:sz="4" w:space="0" w:color="auto"/>
            </w:tcBorders>
            <w:shd w:val="clear" w:color="auto" w:fill="auto"/>
            <w:noWrap/>
            <w:vAlign w:val="bottom"/>
            <w:hideMark/>
          </w:tcPr>
          <w:p w:rsidR="00A4173F" w:rsidRPr="009F5CF2" w:rsidRDefault="00A4173F" w:rsidP="00A4173F">
            <w:pPr>
              <w:widowControl/>
              <w:rPr>
                <w:rFonts w:ascii="Times New Roman" w:hAnsi="Times New Roman"/>
                <w:snapToGrid/>
                <w:color w:val="000000"/>
                <w:sz w:val="22"/>
                <w:szCs w:val="22"/>
              </w:rPr>
            </w:pPr>
            <w:r w:rsidRPr="009F5CF2">
              <w:rPr>
                <w:rFonts w:ascii="Times New Roman" w:hAnsi="Times New Roman"/>
                <w:snapToGrid/>
                <w:color w:val="000000"/>
                <w:sz w:val="22"/>
                <w:szCs w:val="22"/>
              </w:rPr>
              <w:t> </w:t>
            </w:r>
          </w:p>
        </w:tc>
      </w:tr>
      <w:tr w:rsidR="00A4173F" w:rsidRPr="009F5CF2" w:rsidTr="00A4173F">
        <w:trPr>
          <w:trHeight w:val="42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4173F" w:rsidRPr="009F5CF2" w:rsidRDefault="00A4173F" w:rsidP="00A4173F">
            <w:pPr>
              <w:widowControl/>
              <w:jc w:val="right"/>
              <w:rPr>
                <w:rFonts w:ascii="Times New Roman" w:hAnsi="Times New Roman"/>
                <w:snapToGrid/>
                <w:color w:val="000000"/>
                <w:sz w:val="22"/>
                <w:szCs w:val="22"/>
              </w:rPr>
            </w:pPr>
            <w:r w:rsidRPr="009F5CF2">
              <w:rPr>
                <w:rFonts w:ascii="Times New Roman" w:hAnsi="Times New Roman"/>
                <w:snapToGrid/>
                <w:color w:val="000000"/>
                <w:sz w:val="22"/>
                <w:szCs w:val="22"/>
              </w:rPr>
              <w:t>8</w:t>
            </w:r>
          </w:p>
        </w:tc>
        <w:tc>
          <w:tcPr>
            <w:tcW w:w="4737" w:type="dxa"/>
            <w:tcBorders>
              <w:top w:val="nil"/>
              <w:left w:val="nil"/>
              <w:bottom w:val="single" w:sz="4" w:space="0" w:color="auto"/>
              <w:right w:val="single" w:sz="4" w:space="0" w:color="auto"/>
            </w:tcBorders>
            <w:shd w:val="clear" w:color="auto" w:fill="auto"/>
            <w:noWrap/>
            <w:vAlign w:val="bottom"/>
            <w:hideMark/>
          </w:tcPr>
          <w:p w:rsidR="00A4173F" w:rsidRPr="009F5CF2" w:rsidRDefault="000473C9" w:rsidP="00A4173F">
            <w:pPr>
              <w:widowControl/>
              <w:rPr>
                <w:rFonts w:ascii="Times New Roman" w:hAnsi="Times New Roman"/>
                <w:snapToGrid/>
                <w:color w:val="000000"/>
                <w:sz w:val="22"/>
                <w:szCs w:val="22"/>
              </w:rPr>
            </w:pPr>
            <w:r w:rsidRPr="009F5CF2">
              <w:rPr>
                <w:rFonts w:ascii="Times New Roman" w:hAnsi="Times New Roman"/>
                <w:snapToGrid/>
                <w:color w:val="000000"/>
                <w:sz w:val="22"/>
                <w:szCs w:val="22"/>
              </w:rPr>
              <w:br/>
            </w:r>
            <w:r w:rsidRPr="009F5CF2">
              <w:rPr>
                <w:rFonts w:ascii="Times New Roman" w:hAnsi="Times New Roman"/>
                <w:i/>
                <w:iCs/>
                <w:snapToGrid/>
                <w:color w:val="000000"/>
                <w:sz w:val="22"/>
                <w:szCs w:val="22"/>
              </w:rPr>
              <w:t>Group Case Study - 2: Presentations</w:t>
            </w:r>
          </w:p>
        </w:tc>
        <w:tc>
          <w:tcPr>
            <w:tcW w:w="2225" w:type="dxa"/>
            <w:tcBorders>
              <w:top w:val="nil"/>
              <w:left w:val="nil"/>
              <w:bottom w:val="single" w:sz="4" w:space="0" w:color="auto"/>
              <w:right w:val="single" w:sz="4" w:space="0" w:color="auto"/>
            </w:tcBorders>
            <w:shd w:val="clear" w:color="auto" w:fill="auto"/>
            <w:noWrap/>
            <w:vAlign w:val="bottom"/>
            <w:hideMark/>
          </w:tcPr>
          <w:p w:rsidR="00A4173F" w:rsidRPr="009F5CF2" w:rsidRDefault="00A4173F" w:rsidP="00A4173F">
            <w:pPr>
              <w:widowControl/>
              <w:rPr>
                <w:rFonts w:ascii="Times New Roman" w:hAnsi="Times New Roman"/>
                <w:snapToGrid/>
                <w:color w:val="000000"/>
                <w:sz w:val="22"/>
                <w:szCs w:val="22"/>
              </w:rPr>
            </w:pPr>
            <w:r w:rsidRPr="009F5CF2">
              <w:rPr>
                <w:rFonts w:ascii="Times New Roman" w:hAnsi="Times New Roman"/>
                <w:snapToGrid/>
                <w:color w:val="000000"/>
                <w:sz w:val="22"/>
                <w:szCs w:val="22"/>
              </w:rPr>
              <w:t>Guest Lecture: 3</w:t>
            </w:r>
          </w:p>
        </w:tc>
      </w:tr>
      <w:tr w:rsidR="00A4173F" w:rsidRPr="009F5CF2" w:rsidTr="00A4173F">
        <w:trPr>
          <w:trHeight w:val="42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4173F" w:rsidRPr="009F5CF2" w:rsidRDefault="00A4173F" w:rsidP="00A4173F">
            <w:pPr>
              <w:widowControl/>
              <w:jc w:val="right"/>
              <w:rPr>
                <w:rFonts w:ascii="Times New Roman" w:hAnsi="Times New Roman"/>
                <w:snapToGrid/>
                <w:color w:val="000000"/>
                <w:sz w:val="22"/>
                <w:szCs w:val="22"/>
              </w:rPr>
            </w:pPr>
            <w:r w:rsidRPr="009F5CF2">
              <w:rPr>
                <w:rFonts w:ascii="Times New Roman" w:hAnsi="Times New Roman"/>
                <w:snapToGrid/>
                <w:color w:val="000000"/>
                <w:sz w:val="22"/>
                <w:szCs w:val="22"/>
              </w:rPr>
              <w:t>9</w:t>
            </w:r>
          </w:p>
        </w:tc>
        <w:tc>
          <w:tcPr>
            <w:tcW w:w="4737" w:type="dxa"/>
            <w:tcBorders>
              <w:top w:val="nil"/>
              <w:left w:val="nil"/>
              <w:bottom w:val="single" w:sz="4" w:space="0" w:color="auto"/>
              <w:right w:val="single" w:sz="4" w:space="0" w:color="auto"/>
            </w:tcBorders>
            <w:shd w:val="clear" w:color="auto" w:fill="auto"/>
            <w:noWrap/>
            <w:vAlign w:val="bottom"/>
            <w:hideMark/>
          </w:tcPr>
          <w:p w:rsidR="00A4173F" w:rsidRPr="009F5CF2" w:rsidRDefault="000473C9" w:rsidP="00A4173F">
            <w:pPr>
              <w:widowControl/>
              <w:rPr>
                <w:rFonts w:ascii="Times New Roman" w:hAnsi="Times New Roman"/>
                <w:snapToGrid/>
                <w:color w:val="000000"/>
                <w:sz w:val="22"/>
                <w:szCs w:val="22"/>
              </w:rPr>
            </w:pPr>
            <w:r>
              <w:rPr>
                <w:rFonts w:ascii="Times New Roman" w:hAnsi="Times New Roman"/>
                <w:snapToGrid/>
                <w:color w:val="000000"/>
                <w:sz w:val="22"/>
                <w:szCs w:val="22"/>
              </w:rPr>
              <w:t>Change Management</w:t>
            </w:r>
          </w:p>
        </w:tc>
        <w:tc>
          <w:tcPr>
            <w:tcW w:w="2225" w:type="dxa"/>
            <w:tcBorders>
              <w:top w:val="nil"/>
              <w:left w:val="nil"/>
              <w:bottom w:val="single" w:sz="4" w:space="0" w:color="auto"/>
              <w:right w:val="single" w:sz="4" w:space="0" w:color="auto"/>
            </w:tcBorders>
            <w:shd w:val="clear" w:color="auto" w:fill="auto"/>
            <w:noWrap/>
            <w:vAlign w:val="bottom"/>
            <w:hideMark/>
          </w:tcPr>
          <w:p w:rsidR="00A4173F" w:rsidRPr="009F5CF2" w:rsidRDefault="00A4173F" w:rsidP="00A4173F">
            <w:pPr>
              <w:widowControl/>
              <w:rPr>
                <w:rFonts w:ascii="Times New Roman" w:hAnsi="Times New Roman"/>
                <w:snapToGrid/>
                <w:color w:val="000000"/>
                <w:sz w:val="22"/>
                <w:szCs w:val="22"/>
              </w:rPr>
            </w:pPr>
            <w:r w:rsidRPr="009F5CF2">
              <w:rPr>
                <w:rFonts w:ascii="Times New Roman" w:hAnsi="Times New Roman"/>
                <w:snapToGrid/>
                <w:color w:val="000000"/>
                <w:sz w:val="22"/>
                <w:szCs w:val="22"/>
              </w:rPr>
              <w:t>Guest Lecture: 4</w:t>
            </w:r>
          </w:p>
        </w:tc>
      </w:tr>
      <w:tr w:rsidR="00A4173F" w:rsidRPr="009F5CF2" w:rsidTr="000473C9">
        <w:trPr>
          <w:trHeight w:val="449"/>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4173F" w:rsidRPr="009F5CF2" w:rsidRDefault="00A4173F" w:rsidP="000473C9">
            <w:pPr>
              <w:widowControl/>
              <w:jc w:val="right"/>
              <w:rPr>
                <w:rFonts w:ascii="Times New Roman" w:hAnsi="Times New Roman"/>
                <w:snapToGrid/>
                <w:color w:val="000000"/>
                <w:sz w:val="22"/>
                <w:szCs w:val="22"/>
              </w:rPr>
            </w:pPr>
            <w:r w:rsidRPr="009F5CF2">
              <w:rPr>
                <w:rFonts w:ascii="Times New Roman" w:hAnsi="Times New Roman"/>
                <w:snapToGrid/>
                <w:color w:val="000000"/>
                <w:sz w:val="22"/>
                <w:szCs w:val="22"/>
              </w:rPr>
              <w:t>10</w:t>
            </w:r>
          </w:p>
        </w:tc>
        <w:tc>
          <w:tcPr>
            <w:tcW w:w="4737" w:type="dxa"/>
            <w:tcBorders>
              <w:top w:val="nil"/>
              <w:left w:val="nil"/>
              <w:bottom w:val="single" w:sz="4" w:space="0" w:color="auto"/>
              <w:right w:val="single" w:sz="4" w:space="0" w:color="auto"/>
            </w:tcBorders>
            <w:shd w:val="clear" w:color="auto" w:fill="auto"/>
            <w:vAlign w:val="bottom"/>
            <w:hideMark/>
          </w:tcPr>
          <w:p w:rsidR="00A4173F" w:rsidRPr="009F5CF2" w:rsidRDefault="00A4173F" w:rsidP="000473C9">
            <w:pPr>
              <w:widowControl/>
              <w:rPr>
                <w:rFonts w:ascii="Times New Roman" w:hAnsi="Times New Roman"/>
                <w:snapToGrid/>
                <w:color w:val="000000"/>
                <w:sz w:val="22"/>
                <w:szCs w:val="22"/>
              </w:rPr>
            </w:pPr>
            <w:r w:rsidRPr="009F5CF2">
              <w:rPr>
                <w:rFonts w:ascii="Times New Roman" w:hAnsi="Times New Roman"/>
                <w:snapToGrid/>
                <w:color w:val="000000"/>
                <w:sz w:val="22"/>
                <w:szCs w:val="22"/>
              </w:rPr>
              <w:t>Ethics, Security &amp; Privacy</w:t>
            </w:r>
          </w:p>
        </w:tc>
        <w:tc>
          <w:tcPr>
            <w:tcW w:w="2225" w:type="dxa"/>
            <w:tcBorders>
              <w:top w:val="nil"/>
              <w:left w:val="nil"/>
              <w:bottom w:val="single" w:sz="4" w:space="0" w:color="auto"/>
              <w:right w:val="single" w:sz="4" w:space="0" w:color="auto"/>
            </w:tcBorders>
            <w:shd w:val="clear" w:color="auto" w:fill="auto"/>
            <w:noWrap/>
            <w:vAlign w:val="bottom"/>
            <w:hideMark/>
          </w:tcPr>
          <w:p w:rsidR="00A4173F" w:rsidRPr="009F5CF2" w:rsidRDefault="00A4173F" w:rsidP="00A4173F">
            <w:pPr>
              <w:widowControl/>
              <w:rPr>
                <w:rFonts w:ascii="Times New Roman" w:hAnsi="Times New Roman"/>
                <w:snapToGrid/>
                <w:color w:val="000000"/>
                <w:sz w:val="22"/>
                <w:szCs w:val="22"/>
              </w:rPr>
            </w:pPr>
          </w:p>
        </w:tc>
      </w:tr>
      <w:tr w:rsidR="00A4173F" w:rsidRPr="009F5CF2" w:rsidTr="00A4173F">
        <w:trPr>
          <w:trHeight w:val="42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4173F" w:rsidRPr="009F5CF2" w:rsidRDefault="00A4173F" w:rsidP="00A4173F">
            <w:pPr>
              <w:widowControl/>
              <w:jc w:val="right"/>
              <w:rPr>
                <w:rFonts w:ascii="Times New Roman" w:hAnsi="Times New Roman"/>
                <w:snapToGrid/>
                <w:color w:val="000000"/>
                <w:sz w:val="22"/>
                <w:szCs w:val="22"/>
              </w:rPr>
            </w:pPr>
            <w:r w:rsidRPr="009F5CF2">
              <w:rPr>
                <w:rFonts w:ascii="Times New Roman" w:hAnsi="Times New Roman"/>
                <w:snapToGrid/>
                <w:color w:val="000000"/>
                <w:sz w:val="22"/>
                <w:szCs w:val="22"/>
              </w:rPr>
              <w:t>11</w:t>
            </w:r>
          </w:p>
        </w:tc>
        <w:tc>
          <w:tcPr>
            <w:tcW w:w="4737" w:type="dxa"/>
            <w:tcBorders>
              <w:top w:val="nil"/>
              <w:left w:val="nil"/>
              <w:bottom w:val="single" w:sz="4" w:space="0" w:color="auto"/>
              <w:right w:val="single" w:sz="4" w:space="0" w:color="auto"/>
            </w:tcBorders>
            <w:shd w:val="clear" w:color="auto" w:fill="auto"/>
            <w:noWrap/>
            <w:vAlign w:val="bottom"/>
            <w:hideMark/>
          </w:tcPr>
          <w:p w:rsidR="00A4173F" w:rsidRPr="009F5CF2" w:rsidRDefault="00A4173F" w:rsidP="00A4173F">
            <w:pPr>
              <w:widowControl/>
              <w:rPr>
                <w:rFonts w:ascii="Times New Roman" w:hAnsi="Times New Roman"/>
                <w:i/>
                <w:iCs/>
                <w:snapToGrid/>
                <w:color w:val="000000"/>
                <w:sz w:val="22"/>
                <w:szCs w:val="22"/>
              </w:rPr>
            </w:pPr>
            <w:r w:rsidRPr="009F5CF2">
              <w:rPr>
                <w:rFonts w:ascii="Times New Roman" w:hAnsi="Times New Roman"/>
                <w:i/>
                <w:iCs/>
                <w:snapToGrid/>
                <w:color w:val="000000"/>
                <w:sz w:val="22"/>
                <w:szCs w:val="22"/>
              </w:rPr>
              <w:t>Final Project Presentations</w:t>
            </w:r>
          </w:p>
        </w:tc>
        <w:tc>
          <w:tcPr>
            <w:tcW w:w="2225" w:type="dxa"/>
            <w:tcBorders>
              <w:top w:val="nil"/>
              <w:left w:val="nil"/>
              <w:bottom w:val="single" w:sz="4" w:space="0" w:color="auto"/>
              <w:right w:val="single" w:sz="4" w:space="0" w:color="auto"/>
            </w:tcBorders>
            <w:shd w:val="clear" w:color="auto" w:fill="auto"/>
            <w:noWrap/>
            <w:vAlign w:val="bottom"/>
            <w:hideMark/>
          </w:tcPr>
          <w:p w:rsidR="00A4173F" w:rsidRPr="009F5CF2" w:rsidRDefault="00A4173F" w:rsidP="00A4173F">
            <w:pPr>
              <w:widowControl/>
              <w:rPr>
                <w:rFonts w:ascii="Times New Roman" w:hAnsi="Times New Roman"/>
                <w:snapToGrid/>
                <w:color w:val="000000"/>
                <w:sz w:val="22"/>
                <w:szCs w:val="22"/>
              </w:rPr>
            </w:pPr>
            <w:r w:rsidRPr="009F5CF2">
              <w:rPr>
                <w:rFonts w:ascii="Times New Roman" w:hAnsi="Times New Roman"/>
                <w:snapToGrid/>
                <w:color w:val="000000"/>
                <w:sz w:val="22"/>
                <w:szCs w:val="22"/>
              </w:rPr>
              <w:t> </w:t>
            </w:r>
          </w:p>
        </w:tc>
      </w:tr>
    </w:tbl>
    <w:p w:rsidR="001843D4" w:rsidRPr="009F5CF2" w:rsidRDefault="001843D4" w:rsidP="001843D4">
      <w:pPr>
        <w:tabs>
          <w:tab w:val="left" w:pos="-1080"/>
          <w:tab w:val="left" w:pos="-720"/>
          <w:tab w:val="left" w:pos="0"/>
          <w:tab w:val="left" w:pos="720"/>
          <w:tab w:val="left" w:pos="1440"/>
          <w:tab w:val="left" w:pos="2160"/>
          <w:tab w:val="left" w:pos="2880"/>
          <w:tab w:val="left" w:pos="3600"/>
          <w:tab w:val="left" w:pos="4320"/>
          <w:tab w:val="left" w:pos="5040"/>
          <w:tab w:val="left" w:pos="5670"/>
          <w:tab w:val="left" w:pos="6480"/>
        </w:tabs>
        <w:spacing w:line="232" w:lineRule="auto"/>
        <w:ind w:left="2160" w:hanging="2160"/>
        <w:rPr>
          <w:rFonts w:ascii="Times New Roman" w:hAnsi="Times New Roman"/>
          <w:b/>
          <w:sz w:val="22"/>
          <w:szCs w:val="22"/>
        </w:rPr>
      </w:pPr>
      <w:r w:rsidRPr="009F5CF2">
        <w:rPr>
          <w:rFonts w:ascii="Times New Roman" w:hAnsi="Times New Roman"/>
          <w:b/>
          <w:color w:val="2E74B5" w:themeColor="accent1" w:themeShade="BF"/>
          <w:sz w:val="22"/>
          <w:szCs w:val="22"/>
          <w:u w:val="single"/>
        </w:rPr>
        <w:lastRenderedPageBreak/>
        <w:t>Evaluation Criteria</w:t>
      </w:r>
    </w:p>
    <w:p w:rsidR="00A4173F" w:rsidRPr="009F5CF2" w:rsidRDefault="00A4173F">
      <w:pPr>
        <w:widowControl/>
        <w:spacing w:after="160" w:line="259" w:lineRule="auto"/>
        <w:rPr>
          <w:rFonts w:ascii="Times New Roman" w:eastAsia="SymbolMT" w:hAnsi="Times New Roman"/>
          <w:b/>
          <w:color w:val="000000"/>
          <w:sz w:val="22"/>
          <w:szCs w:val="22"/>
          <w:u w:val="single"/>
        </w:rPr>
      </w:pPr>
    </w:p>
    <w:tbl>
      <w:tblPr>
        <w:tblW w:w="3280" w:type="dxa"/>
        <w:tblLook w:val="04A0" w:firstRow="1" w:lastRow="0" w:firstColumn="1" w:lastColumn="0" w:noHBand="0" w:noVBand="1"/>
      </w:tblPr>
      <w:tblGrid>
        <w:gridCol w:w="742"/>
        <w:gridCol w:w="2112"/>
        <w:gridCol w:w="815"/>
      </w:tblGrid>
      <w:tr w:rsidR="00A4173F" w:rsidRPr="009F5CF2" w:rsidTr="00683046">
        <w:trPr>
          <w:trHeight w:val="300"/>
        </w:trPr>
        <w:tc>
          <w:tcPr>
            <w:tcW w:w="3280" w:type="dxa"/>
            <w:gridSpan w:val="3"/>
            <w:tcBorders>
              <w:top w:val="single" w:sz="8" w:space="0" w:color="auto"/>
              <w:left w:val="single" w:sz="8" w:space="0" w:color="auto"/>
              <w:bottom w:val="single" w:sz="4" w:space="0" w:color="auto"/>
              <w:right w:val="single" w:sz="8" w:space="0" w:color="000000"/>
            </w:tcBorders>
            <w:shd w:val="clear" w:color="auto" w:fill="BFBFBF" w:themeFill="background1" w:themeFillShade="BF"/>
            <w:noWrap/>
            <w:vAlign w:val="bottom"/>
            <w:hideMark/>
          </w:tcPr>
          <w:p w:rsidR="00A4173F" w:rsidRPr="009F5CF2" w:rsidRDefault="00A4173F" w:rsidP="00A4173F">
            <w:pPr>
              <w:widowControl/>
              <w:jc w:val="center"/>
              <w:rPr>
                <w:rFonts w:ascii="Times New Roman" w:hAnsi="Times New Roman"/>
                <w:b/>
                <w:bCs/>
                <w:snapToGrid/>
                <w:color w:val="000000"/>
                <w:sz w:val="22"/>
                <w:szCs w:val="22"/>
              </w:rPr>
            </w:pPr>
            <w:r w:rsidRPr="009F5CF2">
              <w:rPr>
                <w:rFonts w:ascii="Times New Roman" w:hAnsi="Times New Roman"/>
                <w:b/>
                <w:bCs/>
                <w:snapToGrid/>
                <w:color w:val="000000"/>
                <w:sz w:val="22"/>
                <w:szCs w:val="22"/>
              </w:rPr>
              <w:t>DSB6000 Grading Scale</w:t>
            </w:r>
          </w:p>
        </w:tc>
      </w:tr>
      <w:tr w:rsidR="00A4173F" w:rsidRPr="009F5CF2" w:rsidTr="00683046">
        <w:trPr>
          <w:trHeight w:val="300"/>
        </w:trPr>
        <w:tc>
          <w:tcPr>
            <w:tcW w:w="542" w:type="dxa"/>
            <w:tcBorders>
              <w:top w:val="nil"/>
              <w:left w:val="single" w:sz="8" w:space="0" w:color="auto"/>
              <w:bottom w:val="single" w:sz="4" w:space="0" w:color="auto"/>
              <w:right w:val="nil"/>
            </w:tcBorders>
            <w:shd w:val="clear" w:color="auto" w:fill="D9D9D9" w:themeFill="background1" w:themeFillShade="D9"/>
            <w:noWrap/>
            <w:vAlign w:val="bottom"/>
            <w:hideMark/>
          </w:tcPr>
          <w:p w:rsidR="00A4173F" w:rsidRPr="009F5CF2" w:rsidRDefault="00A4173F" w:rsidP="00A4173F">
            <w:pPr>
              <w:widowControl/>
              <w:jc w:val="right"/>
              <w:rPr>
                <w:rFonts w:ascii="Times New Roman" w:hAnsi="Times New Roman"/>
                <w:b/>
                <w:bCs/>
                <w:snapToGrid/>
                <w:color w:val="000000"/>
                <w:sz w:val="22"/>
                <w:szCs w:val="22"/>
              </w:rPr>
            </w:pPr>
            <w:r w:rsidRPr="009F5CF2">
              <w:rPr>
                <w:rFonts w:ascii="Times New Roman" w:hAnsi="Times New Roman"/>
                <w:b/>
                <w:bCs/>
                <w:snapToGrid/>
                <w:color w:val="000000"/>
                <w:sz w:val="22"/>
                <w:szCs w:val="22"/>
              </w:rPr>
              <w:t> </w:t>
            </w:r>
          </w:p>
        </w:tc>
        <w:tc>
          <w:tcPr>
            <w:tcW w:w="2112" w:type="dxa"/>
            <w:tcBorders>
              <w:top w:val="nil"/>
              <w:left w:val="nil"/>
              <w:bottom w:val="single" w:sz="4" w:space="0" w:color="auto"/>
              <w:right w:val="nil"/>
            </w:tcBorders>
            <w:shd w:val="clear" w:color="auto" w:fill="D9D9D9" w:themeFill="background1" w:themeFillShade="D9"/>
            <w:noWrap/>
            <w:vAlign w:val="bottom"/>
            <w:hideMark/>
          </w:tcPr>
          <w:p w:rsidR="00A4173F" w:rsidRPr="009F5CF2" w:rsidRDefault="00A4173F" w:rsidP="00A4173F">
            <w:pPr>
              <w:widowControl/>
              <w:jc w:val="right"/>
              <w:rPr>
                <w:rFonts w:ascii="Times New Roman" w:hAnsi="Times New Roman"/>
                <w:b/>
                <w:bCs/>
                <w:snapToGrid/>
                <w:color w:val="000000"/>
                <w:sz w:val="22"/>
                <w:szCs w:val="22"/>
              </w:rPr>
            </w:pPr>
            <w:r w:rsidRPr="009F5CF2">
              <w:rPr>
                <w:rFonts w:ascii="Times New Roman" w:hAnsi="Times New Roman"/>
                <w:b/>
                <w:bCs/>
                <w:snapToGrid/>
                <w:color w:val="000000"/>
                <w:sz w:val="22"/>
                <w:szCs w:val="22"/>
              </w:rPr>
              <w:t>Total Points Possible:</w:t>
            </w:r>
          </w:p>
        </w:tc>
        <w:tc>
          <w:tcPr>
            <w:tcW w:w="626" w:type="dxa"/>
            <w:tcBorders>
              <w:top w:val="nil"/>
              <w:left w:val="single" w:sz="4" w:space="0" w:color="auto"/>
              <w:bottom w:val="single" w:sz="4" w:space="0" w:color="auto"/>
              <w:right w:val="single" w:sz="8" w:space="0" w:color="auto"/>
            </w:tcBorders>
            <w:shd w:val="clear" w:color="auto" w:fill="D9D9D9" w:themeFill="background1" w:themeFillShade="D9"/>
            <w:noWrap/>
            <w:vAlign w:val="bottom"/>
            <w:hideMark/>
          </w:tcPr>
          <w:p w:rsidR="00A4173F" w:rsidRPr="009F5CF2" w:rsidRDefault="00A4173F" w:rsidP="00A4173F">
            <w:pPr>
              <w:widowControl/>
              <w:jc w:val="center"/>
              <w:rPr>
                <w:rFonts w:ascii="Times New Roman" w:hAnsi="Times New Roman"/>
                <w:b/>
                <w:bCs/>
                <w:snapToGrid/>
                <w:color w:val="000000"/>
                <w:sz w:val="22"/>
                <w:szCs w:val="22"/>
              </w:rPr>
            </w:pPr>
            <w:r w:rsidRPr="009F5CF2">
              <w:rPr>
                <w:rFonts w:ascii="Times New Roman" w:hAnsi="Times New Roman"/>
                <w:b/>
                <w:bCs/>
                <w:snapToGrid/>
                <w:color w:val="000000"/>
                <w:sz w:val="22"/>
                <w:szCs w:val="22"/>
              </w:rPr>
              <w:t>100</w:t>
            </w:r>
          </w:p>
        </w:tc>
      </w:tr>
      <w:tr w:rsidR="00A4173F" w:rsidRPr="009F5CF2" w:rsidTr="00683046">
        <w:trPr>
          <w:trHeight w:val="300"/>
        </w:trPr>
        <w:tc>
          <w:tcPr>
            <w:tcW w:w="542"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A4173F" w:rsidRPr="009F5CF2" w:rsidRDefault="00A4173F" w:rsidP="00A4173F">
            <w:pPr>
              <w:widowControl/>
              <w:jc w:val="center"/>
              <w:rPr>
                <w:rFonts w:ascii="Times New Roman" w:hAnsi="Times New Roman"/>
                <w:b/>
                <w:bCs/>
                <w:snapToGrid/>
                <w:color w:val="000000"/>
                <w:sz w:val="22"/>
                <w:szCs w:val="22"/>
              </w:rPr>
            </w:pPr>
            <w:r w:rsidRPr="009F5CF2">
              <w:rPr>
                <w:rFonts w:ascii="Times New Roman" w:hAnsi="Times New Roman"/>
                <w:b/>
                <w:bCs/>
                <w:snapToGrid/>
                <w:color w:val="000000"/>
                <w:sz w:val="22"/>
                <w:szCs w:val="22"/>
              </w:rPr>
              <w:t>From</w:t>
            </w:r>
          </w:p>
        </w:tc>
        <w:tc>
          <w:tcPr>
            <w:tcW w:w="2112" w:type="dxa"/>
            <w:tcBorders>
              <w:top w:val="nil"/>
              <w:left w:val="nil"/>
              <w:bottom w:val="single" w:sz="4" w:space="0" w:color="auto"/>
              <w:right w:val="nil"/>
            </w:tcBorders>
            <w:shd w:val="clear" w:color="auto" w:fill="D9D9D9" w:themeFill="background1" w:themeFillShade="D9"/>
            <w:noWrap/>
            <w:vAlign w:val="bottom"/>
            <w:hideMark/>
          </w:tcPr>
          <w:p w:rsidR="00A4173F" w:rsidRPr="009F5CF2" w:rsidRDefault="00A4173F" w:rsidP="00A4173F">
            <w:pPr>
              <w:widowControl/>
              <w:jc w:val="center"/>
              <w:rPr>
                <w:rFonts w:ascii="Times New Roman" w:hAnsi="Times New Roman"/>
                <w:b/>
                <w:bCs/>
                <w:snapToGrid/>
                <w:color w:val="000000"/>
                <w:sz w:val="22"/>
                <w:szCs w:val="22"/>
              </w:rPr>
            </w:pPr>
            <w:r w:rsidRPr="009F5CF2">
              <w:rPr>
                <w:rFonts w:ascii="Times New Roman" w:hAnsi="Times New Roman"/>
                <w:b/>
                <w:bCs/>
                <w:snapToGrid/>
                <w:color w:val="000000"/>
                <w:sz w:val="22"/>
                <w:szCs w:val="22"/>
              </w:rPr>
              <w:t>To</w:t>
            </w:r>
          </w:p>
        </w:tc>
        <w:tc>
          <w:tcPr>
            <w:tcW w:w="626" w:type="dxa"/>
            <w:tcBorders>
              <w:top w:val="nil"/>
              <w:left w:val="single" w:sz="4" w:space="0" w:color="auto"/>
              <w:bottom w:val="single" w:sz="4" w:space="0" w:color="auto"/>
              <w:right w:val="single" w:sz="8" w:space="0" w:color="auto"/>
            </w:tcBorders>
            <w:shd w:val="clear" w:color="auto" w:fill="D9D9D9" w:themeFill="background1" w:themeFillShade="D9"/>
            <w:noWrap/>
            <w:vAlign w:val="bottom"/>
            <w:hideMark/>
          </w:tcPr>
          <w:p w:rsidR="00A4173F" w:rsidRPr="009F5CF2" w:rsidRDefault="00A4173F" w:rsidP="00A4173F">
            <w:pPr>
              <w:widowControl/>
              <w:jc w:val="center"/>
              <w:rPr>
                <w:rFonts w:ascii="Times New Roman" w:hAnsi="Times New Roman"/>
                <w:b/>
                <w:bCs/>
                <w:snapToGrid/>
                <w:color w:val="000000"/>
                <w:sz w:val="22"/>
                <w:szCs w:val="22"/>
              </w:rPr>
            </w:pPr>
            <w:r w:rsidRPr="009F5CF2">
              <w:rPr>
                <w:rFonts w:ascii="Times New Roman" w:hAnsi="Times New Roman"/>
                <w:b/>
                <w:bCs/>
                <w:snapToGrid/>
                <w:color w:val="000000"/>
                <w:sz w:val="22"/>
                <w:szCs w:val="22"/>
              </w:rPr>
              <w:t>Grade</w:t>
            </w:r>
          </w:p>
        </w:tc>
      </w:tr>
      <w:tr w:rsidR="00A4173F" w:rsidRPr="009F5CF2" w:rsidTr="00A4173F">
        <w:trPr>
          <w:trHeight w:val="300"/>
        </w:trPr>
        <w:tc>
          <w:tcPr>
            <w:tcW w:w="542" w:type="dxa"/>
            <w:tcBorders>
              <w:top w:val="nil"/>
              <w:left w:val="single" w:sz="8" w:space="0" w:color="auto"/>
              <w:bottom w:val="single" w:sz="4" w:space="0" w:color="auto"/>
              <w:right w:val="single" w:sz="4" w:space="0" w:color="auto"/>
            </w:tcBorders>
            <w:shd w:val="clear" w:color="auto" w:fill="auto"/>
            <w:noWrap/>
            <w:vAlign w:val="bottom"/>
            <w:hideMark/>
          </w:tcPr>
          <w:p w:rsidR="00A4173F" w:rsidRPr="009F5CF2" w:rsidRDefault="00A4173F" w:rsidP="00A4173F">
            <w:pPr>
              <w:widowControl/>
              <w:jc w:val="center"/>
              <w:rPr>
                <w:rFonts w:ascii="Times New Roman" w:hAnsi="Times New Roman"/>
                <w:snapToGrid/>
                <w:color w:val="000000"/>
                <w:sz w:val="22"/>
                <w:szCs w:val="22"/>
              </w:rPr>
            </w:pPr>
            <w:r w:rsidRPr="009F5CF2">
              <w:rPr>
                <w:rFonts w:ascii="Times New Roman" w:hAnsi="Times New Roman"/>
                <w:snapToGrid/>
                <w:color w:val="000000"/>
                <w:sz w:val="22"/>
                <w:szCs w:val="22"/>
              </w:rPr>
              <w:t>95</w:t>
            </w:r>
          </w:p>
        </w:tc>
        <w:tc>
          <w:tcPr>
            <w:tcW w:w="2112" w:type="dxa"/>
            <w:tcBorders>
              <w:top w:val="nil"/>
              <w:left w:val="nil"/>
              <w:bottom w:val="single" w:sz="4" w:space="0" w:color="auto"/>
              <w:right w:val="single" w:sz="4" w:space="0" w:color="auto"/>
            </w:tcBorders>
            <w:shd w:val="clear" w:color="auto" w:fill="auto"/>
            <w:noWrap/>
            <w:vAlign w:val="bottom"/>
            <w:hideMark/>
          </w:tcPr>
          <w:p w:rsidR="00A4173F" w:rsidRPr="009F5CF2" w:rsidRDefault="00A4173F" w:rsidP="00A4173F">
            <w:pPr>
              <w:widowControl/>
              <w:jc w:val="center"/>
              <w:rPr>
                <w:rFonts w:ascii="Times New Roman" w:hAnsi="Times New Roman"/>
                <w:snapToGrid/>
                <w:color w:val="000000"/>
                <w:sz w:val="22"/>
                <w:szCs w:val="22"/>
              </w:rPr>
            </w:pPr>
            <w:r w:rsidRPr="009F5CF2">
              <w:rPr>
                <w:rFonts w:ascii="Times New Roman" w:hAnsi="Times New Roman"/>
                <w:snapToGrid/>
                <w:color w:val="000000"/>
                <w:sz w:val="22"/>
                <w:szCs w:val="22"/>
              </w:rPr>
              <w:t>100</w:t>
            </w:r>
          </w:p>
        </w:tc>
        <w:tc>
          <w:tcPr>
            <w:tcW w:w="626" w:type="dxa"/>
            <w:tcBorders>
              <w:top w:val="nil"/>
              <w:left w:val="nil"/>
              <w:bottom w:val="single" w:sz="4" w:space="0" w:color="auto"/>
              <w:right w:val="single" w:sz="8" w:space="0" w:color="auto"/>
            </w:tcBorders>
            <w:shd w:val="clear" w:color="auto" w:fill="auto"/>
            <w:noWrap/>
            <w:vAlign w:val="bottom"/>
            <w:hideMark/>
          </w:tcPr>
          <w:p w:rsidR="00A4173F" w:rsidRPr="009F5CF2" w:rsidRDefault="00A4173F" w:rsidP="00A4173F">
            <w:pPr>
              <w:widowControl/>
              <w:jc w:val="center"/>
              <w:rPr>
                <w:rFonts w:ascii="Times New Roman" w:hAnsi="Times New Roman"/>
                <w:snapToGrid/>
                <w:color w:val="000000"/>
                <w:sz w:val="22"/>
                <w:szCs w:val="22"/>
              </w:rPr>
            </w:pPr>
            <w:r w:rsidRPr="009F5CF2">
              <w:rPr>
                <w:rFonts w:ascii="Times New Roman" w:hAnsi="Times New Roman"/>
                <w:snapToGrid/>
                <w:color w:val="000000"/>
                <w:sz w:val="22"/>
                <w:szCs w:val="22"/>
              </w:rPr>
              <w:t>A</w:t>
            </w:r>
          </w:p>
        </w:tc>
      </w:tr>
      <w:tr w:rsidR="00A4173F" w:rsidRPr="009F5CF2" w:rsidTr="00A4173F">
        <w:trPr>
          <w:trHeight w:val="300"/>
        </w:trPr>
        <w:tc>
          <w:tcPr>
            <w:tcW w:w="542" w:type="dxa"/>
            <w:tcBorders>
              <w:top w:val="nil"/>
              <w:left w:val="single" w:sz="8" w:space="0" w:color="auto"/>
              <w:bottom w:val="single" w:sz="4" w:space="0" w:color="auto"/>
              <w:right w:val="single" w:sz="4" w:space="0" w:color="auto"/>
            </w:tcBorders>
            <w:shd w:val="clear" w:color="auto" w:fill="auto"/>
            <w:noWrap/>
            <w:vAlign w:val="bottom"/>
            <w:hideMark/>
          </w:tcPr>
          <w:p w:rsidR="00A4173F" w:rsidRPr="009F5CF2" w:rsidRDefault="00A4173F" w:rsidP="00A4173F">
            <w:pPr>
              <w:widowControl/>
              <w:jc w:val="center"/>
              <w:rPr>
                <w:rFonts w:ascii="Times New Roman" w:hAnsi="Times New Roman"/>
                <w:snapToGrid/>
                <w:color w:val="000000"/>
                <w:sz w:val="22"/>
                <w:szCs w:val="22"/>
              </w:rPr>
            </w:pPr>
            <w:r w:rsidRPr="009F5CF2">
              <w:rPr>
                <w:rFonts w:ascii="Times New Roman" w:hAnsi="Times New Roman"/>
                <w:snapToGrid/>
                <w:color w:val="000000"/>
                <w:sz w:val="22"/>
                <w:szCs w:val="22"/>
              </w:rPr>
              <w:t>90</w:t>
            </w:r>
          </w:p>
        </w:tc>
        <w:tc>
          <w:tcPr>
            <w:tcW w:w="2112" w:type="dxa"/>
            <w:tcBorders>
              <w:top w:val="nil"/>
              <w:left w:val="nil"/>
              <w:bottom w:val="single" w:sz="4" w:space="0" w:color="auto"/>
              <w:right w:val="single" w:sz="4" w:space="0" w:color="auto"/>
            </w:tcBorders>
            <w:shd w:val="clear" w:color="auto" w:fill="auto"/>
            <w:noWrap/>
            <w:vAlign w:val="bottom"/>
            <w:hideMark/>
          </w:tcPr>
          <w:p w:rsidR="00A4173F" w:rsidRPr="009F5CF2" w:rsidRDefault="00A4173F" w:rsidP="00A4173F">
            <w:pPr>
              <w:widowControl/>
              <w:jc w:val="center"/>
              <w:rPr>
                <w:rFonts w:ascii="Times New Roman" w:hAnsi="Times New Roman"/>
                <w:snapToGrid/>
                <w:color w:val="000000"/>
                <w:sz w:val="22"/>
                <w:szCs w:val="22"/>
              </w:rPr>
            </w:pPr>
            <w:r w:rsidRPr="009F5CF2">
              <w:rPr>
                <w:rFonts w:ascii="Times New Roman" w:hAnsi="Times New Roman"/>
                <w:snapToGrid/>
                <w:color w:val="000000"/>
                <w:sz w:val="22"/>
                <w:szCs w:val="22"/>
              </w:rPr>
              <w:t>95</w:t>
            </w:r>
          </w:p>
        </w:tc>
        <w:tc>
          <w:tcPr>
            <w:tcW w:w="626" w:type="dxa"/>
            <w:tcBorders>
              <w:top w:val="nil"/>
              <w:left w:val="nil"/>
              <w:bottom w:val="single" w:sz="4" w:space="0" w:color="auto"/>
              <w:right w:val="single" w:sz="8" w:space="0" w:color="auto"/>
            </w:tcBorders>
            <w:shd w:val="clear" w:color="auto" w:fill="auto"/>
            <w:noWrap/>
            <w:vAlign w:val="bottom"/>
            <w:hideMark/>
          </w:tcPr>
          <w:p w:rsidR="00A4173F" w:rsidRPr="009F5CF2" w:rsidRDefault="00A4173F" w:rsidP="00A4173F">
            <w:pPr>
              <w:widowControl/>
              <w:jc w:val="center"/>
              <w:rPr>
                <w:rFonts w:ascii="Times New Roman" w:hAnsi="Times New Roman"/>
                <w:snapToGrid/>
                <w:color w:val="000000"/>
                <w:sz w:val="22"/>
                <w:szCs w:val="22"/>
              </w:rPr>
            </w:pPr>
            <w:r w:rsidRPr="009F5CF2">
              <w:rPr>
                <w:rFonts w:ascii="Times New Roman" w:hAnsi="Times New Roman"/>
                <w:snapToGrid/>
                <w:color w:val="000000"/>
                <w:sz w:val="22"/>
                <w:szCs w:val="22"/>
              </w:rPr>
              <w:t>A-</w:t>
            </w:r>
          </w:p>
        </w:tc>
      </w:tr>
      <w:tr w:rsidR="00A4173F" w:rsidRPr="009F5CF2" w:rsidTr="00A4173F">
        <w:trPr>
          <w:trHeight w:val="300"/>
        </w:trPr>
        <w:tc>
          <w:tcPr>
            <w:tcW w:w="542" w:type="dxa"/>
            <w:tcBorders>
              <w:top w:val="nil"/>
              <w:left w:val="single" w:sz="8" w:space="0" w:color="auto"/>
              <w:bottom w:val="single" w:sz="4" w:space="0" w:color="auto"/>
              <w:right w:val="single" w:sz="4" w:space="0" w:color="auto"/>
            </w:tcBorders>
            <w:shd w:val="clear" w:color="auto" w:fill="auto"/>
            <w:noWrap/>
            <w:vAlign w:val="bottom"/>
            <w:hideMark/>
          </w:tcPr>
          <w:p w:rsidR="00A4173F" w:rsidRPr="009F5CF2" w:rsidRDefault="00A4173F" w:rsidP="00A4173F">
            <w:pPr>
              <w:widowControl/>
              <w:jc w:val="center"/>
              <w:rPr>
                <w:rFonts w:ascii="Times New Roman" w:hAnsi="Times New Roman"/>
                <w:snapToGrid/>
                <w:color w:val="000000"/>
                <w:sz w:val="22"/>
                <w:szCs w:val="22"/>
              </w:rPr>
            </w:pPr>
            <w:r w:rsidRPr="009F5CF2">
              <w:rPr>
                <w:rFonts w:ascii="Times New Roman" w:hAnsi="Times New Roman"/>
                <w:snapToGrid/>
                <w:color w:val="000000"/>
                <w:sz w:val="22"/>
                <w:szCs w:val="22"/>
              </w:rPr>
              <w:t>87</w:t>
            </w:r>
          </w:p>
        </w:tc>
        <w:tc>
          <w:tcPr>
            <w:tcW w:w="2112" w:type="dxa"/>
            <w:tcBorders>
              <w:top w:val="nil"/>
              <w:left w:val="nil"/>
              <w:bottom w:val="single" w:sz="4" w:space="0" w:color="auto"/>
              <w:right w:val="single" w:sz="4" w:space="0" w:color="auto"/>
            </w:tcBorders>
            <w:shd w:val="clear" w:color="auto" w:fill="auto"/>
            <w:noWrap/>
            <w:vAlign w:val="bottom"/>
            <w:hideMark/>
          </w:tcPr>
          <w:p w:rsidR="00A4173F" w:rsidRPr="009F5CF2" w:rsidRDefault="00A4173F" w:rsidP="00A4173F">
            <w:pPr>
              <w:widowControl/>
              <w:jc w:val="center"/>
              <w:rPr>
                <w:rFonts w:ascii="Times New Roman" w:hAnsi="Times New Roman"/>
                <w:snapToGrid/>
                <w:color w:val="000000"/>
                <w:sz w:val="22"/>
                <w:szCs w:val="22"/>
              </w:rPr>
            </w:pPr>
            <w:r w:rsidRPr="009F5CF2">
              <w:rPr>
                <w:rFonts w:ascii="Times New Roman" w:hAnsi="Times New Roman"/>
                <w:snapToGrid/>
                <w:color w:val="000000"/>
                <w:sz w:val="22"/>
                <w:szCs w:val="22"/>
              </w:rPr>
              <w:t>89</w:t>
            </w:r>
          </w:p>
        </w:tc>
        <w:tc>
          <w:tcPr>
            <w:tcW w:w="626" w:type="dxa"/>
            <w:tcBorders>
              <w:top w:val="nil"/>
              <w:left w:val="nil"/>
              <w:bottom w:val="single" w:sz="4" w:space="0" w:color="auto"/>
              <w:right w:val="single" w:sz="8" w:space="0" w:color="auto"/>
            </w:tcBorders>
            <w:shd w:val="clear" w:color="auto" w:fill="auto"/>
            <w:noWrap/>
            <w:vAlign w:val="bottom"/>
            <w:hideMark/>
          </w:tcPr>
          <w:p w:rsidR="00A4173F" w:rsidRPr="009F5CF2" w:rsidRDefault="00A4173F" w:rsidP="00A4173F">
            <w:pPr>
              <w:widowControl/>
              <w:jc w:val="center"/>
              <w:rPr>
                <w:rFonts w:ascii="Times New Roman" w:hAnsi="Times New Roman"/>
                <w:snapToGrid/>
                <w:color w:val="000000"/>
                <w:sz w:val="22"/>
                <w:szCs w:val="22"/>
              </w:rPr>
            </w:pPr>
            <w:r w:rsidRPr="009F5CF2">
              <w:rPr>
                <w:rFonts w:ascii="Times New Roman" w:hAnsi="Times New Roman"/>
                <w:snapToGrid/>
                <w:color w:val="000000"/>
                <w:sz w:val="22"/>
                <w:szCs w:val="22"/>
              </w:rPr>
              <w:t>B+</w:t>
            </w:r>
          </w:p>
        </w:tc>
      </w:tr>
      <w:tr w:rsidR="00A4173F" w:rsidRPr="009F5CF2" w:rsidTr="00A4173F">
        <w:trPr>
          <w:trHeight w:val="300"/>
        </w:trPr>
        <w:tc>
          <w:tcPr>
            <w:tcW w:w="542" w:type="dxa"/>
            <w:tcBorders>
              <w:top w:val="nil"/>
              <w:left w:val="single" w:sz="8" w:space="0" w:color="auto"/>
              <w:bottom w:val="single" w:sz="4" w:space="0" w:color="auto"/>
              <w:right w:val="single" w:sz="4" w:space="0" w:color="auto"/>
            </w:tcBorders>
            <w:shd w:val="clear" w:color="auto" w:fill="auto"/>
            <w:noWrap/>
            <w:vAlign w:val="bottom"/>
            <w:hideMark/>
          </w:tcPr>
          <w:p w:rsidR="00A4173F" w:rsidRPr="009F5CF2" w:rsidRDefault="00A4173F" w:rsidP="00A4173F">
            <w:pPr>
              <w:widowControl/>
              <w:jc w:val="center"/>
              <w:rPr>
                <w:rFonts w:ascii="Times New Roman" w:hAnsi="Times New Roman"/>
                <w:snapToGrid/>
                <w:color w:val="000000"/>
                <w:sz w:val="22"/>
                <w:szCs w:val="22"/>
              </w:rPr>
            </w:pPr>
            <w:r w:rsidRPr="009F5CF2">
              <w:rPr>
                <w:rFonts w:ascii="Times New Roman" w:hAnsi="Times New Roman"/>
                <w:snapToGrid/>
                <w:color w:val="000000"/>
                <w:sz w:val="22"/>
                <w:szCs w:val="22"/>
              </w:rPr>
              <w:t>83</w:t>
            </w:r>
          </w:p>
        </w:tc>
        <w:tc>
          <w:tcPr>
            <w:tcW w:w="2112" w:type="dxa"/>
            <w:tcBorders>
              <w:top w:val="nil"/>
              <w:left w:val="nil"/>
              <w:bottom w:val="single" w:sz="4" w:space="0" w:color="auto"/>
              <w:right w:val="single" w:sz="4" w:space="0" w:color="auto"/>
            </w:tcBorders>
            <w:shd w:val="clear" w:color="auto" w:fill="auto"/>
            <w:noWrap/>
            <w:vAlign w:val="bottom"/>
            <w:hideMark/>
          </w:tcPr>
          <w:p w:rsidR="00A4173F" w:rsidRPr="009F5CF2" w:rsidRDefault="00A4173F" w:rsidP="00A4173F">
            <w:pPr>
              <w:widowControl/>
              <w:jc w:val="center"/>
              <w:rPr>
                <w:rFonts w:ascii="Times New Roman" w:hAnsi="Times New Roman"/>
                <w:snapToGrid/>
                <w:color w:val="000000"/>
                <w:sz w:val="22"/>
                <w:szCs w:val="22"/>
              </w:rPr>
            </w:pPr>
            <w:r w:rsidRPr="009F5CF2">
              <w:rPr>
                <w:rFonts w:ascii="Times New Roman" w:hAnsi="Times New Roman"/>
                <w:snapToGrid/>
                <w:color w:val="000000"/>
                <w:sz w:val="22"/>
                <w:szCs w:val="22"/>
              </w:rPr>
              <w:t>86</w:t>
            </w:r>
          </w:p>
        </w:tc>
        <w:tc>
          <w:tcPr>
            <w:tcW w:w="626" w:type="dxa"/>
            <w:tcBorders>
              <w:top w:val="nil"/>
              <w:left w:val="nil"/>
              <w:bottom w:val="single" w:sz="4" w:space="0" w:color="auto"/>
              <w:right w:val="single" w:sz="8" w:space="0" w:color="auto"/>
            </w:tcBorders>
            <w:shd w:val="clear" w:color="auto" w:fill="auto"/>
            <w:noWrap/>
            <w:vAlign w:val="bottom"/>
            <w:hideMark/>
          </w:tcPr>
          <w:p w:rsidR="00A4173F" w:rsidRPr="009F5CF2" w:rsidRDefault="00A4173F" w:rsidP="00A4173F">
            <w:pPr>
              <w:widowControl/>
              <w:jc w:val="center"/>
              <w:rPr>
                <w:rFonts w:ascii="Times New Roman" w:hAnsi="Times New Roman"/>
                <w:snapToGrid/>
                <w:color w:val="000000"/>
                <w:sz w:val="22"/>
                <w:szCs w:val="22"/>
              </w:rPr>
            </w:pPr>
            <w:r w:rsidRPr="009F5CF2">
              <w:rPr>
                <w:rFonts w:ascii="Times New Roman" w:hAnsi="Times New Roman"/>
                <w:snapToGrid/>
                <w:color w:val="000000"/>
                <w:sz w:val="22"/>
                <w:szCs w:val="22"/>
              </w:rPr>
              <w:t xml:space="preserve">B </w:t>
            </w:r>
          </w:p>
        </w:tc>
      </w:tr>
      <w:tr w:rsidR="00A4173F" w:rsidRPr="009F5CF2" w:rsidTr="00A4173F">
        <w:trPr>
          <w:trHeight w:val="300"/>
        </w:trPr>
        <w:tc>
          <w:tcPr>
            <w:tcW w:w="542" w:type="dxa"/>
            <w:tcBorders>
              <w:top w:val="nil"/>
              <w:left w:val="single" w:sz="8" w:space="0" w:color="auto"/>
              <w:bottom w:val="single" w:sz="4" w:space="0" w:color="auto"/>
              <w:right w:val="single" w:sz="4" w:space="0" w:color="auto"/>
            </w:tcBorders>
            <w:shd w:val="clear" w:color="auto" w:fill="auto"/>
            <w:noWrap/>
            <w:vAlign w:val="bottom"/>
            <w:hideMark/>
          </w:tcPr>
          <w:p w:rsidR="00A4173F" w:rsidRPr="009F5CF2" w:rsidRDefault="00A4173F" w:rsidP="00A4173F">
            <w:pPr>
              <w:widowControl/>
              <w:jc w:val="center"/>
              <w:rPr>
                <w:rFonts w:ascii="Times New Roman" w:hAnsi="Times New Roman"/>
                <w:snapToGrid/>
                <w:color w:val="000000"/>
                <w:sz w:val="22"/>
                <w:szCs w:val="22"/>
              </w:rPr>
            </w:pPr>
            <w:r w:rsidRPr="009F5CF2">
              <w:rPr>
                <w:rFonts w:ascii="Times New Roman" w:hAnsi="Times New Roman"/>
                <w:snapToGrid/>
                <w:color w:val="000000"/>
                <w:sz w:val="22"/>
                <w:szCs w:val="22"/>
              </w:rPr>
              <w:t>80</w:t>
            </w:r>
          </w:p>
        </w:tc>
        <w:tc>
          <w:tcPr>
            <w:tcW w:w="2112" w:type="dxa"/>
            <w:tcBorders>
              <w:top w:val="nil"/>
              <w:left w:val="nil"/>
              <w:bottom w:val="single" w:sz="4" w:space="0" w:color="auto"/>
              <w:right w:val="single" w:sz="4" w:space="0" w:color="auto"/>
            </w:tcBorders>
            <w:shd w:val="clear" w:color="auto" w:fill="auto"/>
            <w:noWrap/>
            <w:vAlign w:val="bottom"/>
            <w:hideMark/>
          </w:tcPr>
          <w:p w:rsidR="00A4173F" w:rsidRPr="009F5CF2" w:rsidRDefault="00A4173F" w:rsidP="00A4173F">
            <w:pPr>
              <w:widowControl/>
              <w:jc w:val="center"/>
              <w:rPr>
                <w:rFonts w:ascii="Times New Roman" w:hAnsi="Times New Roman"/>
                <w:snapToGrid/>
                <w:color w:val="000000"/>
                <w:sz w:val="22"/>
                <w:szCs w:val="22"/>
              </w:rPr>
            </w:pPr>
            <w:r w:rsidRPr="009F5CF2">
              <w:rPr>
                <w:rFonts w:ascii="Times New Roman" w:hAnsi="Times New Roman"/>
                <w:snapToGrid/>
                <w:color w:val="000000"/>
                <w:sz w:val="22"/>
                <w:szCs w:val="22"/>
              </w:rPr>
              <w:t>83</w:t>
            </w:r>
          </w:p>
        </w:tc>
        <w:tc>
          <w:tcPr>
            <w:tcW w:w="626" w:type="dxa"/>
            <w:tcBorders>
              <w:top w:val="nil"/>
              <w:left w:val="nil"/>
              <w:bottom w:val="single" w:sz="4" w:space="0" w:color="auto"/>
              <w:right w:val="single" w:sz="8" w:space="0" w:color="auto"/>
            </w:tcBorders>
            <w:shd w:val="clear" w:color="auto" w:fill="auto"/>
            <w:noWrap/>
            <w:vAlign w:val="bottom"/>
            <w:hideMark/>
          </w:tcPr>
          <w:p w:rsidR="00A4173F" w:rsidRPr="009F5CF2" w:rsidRDefault="00A4173F" w:rsidP="00A4173F">
            <w:pPr>
              <w:widowControl/>
              <w:jc w:val="center"/>
              <w:rPr>
                <w:rFonts w:ascii="Times New Roman" w:hAnsi="Times New Roman"/>
                <w:snapToGrid/>
                <w:color w:val="000000"/>
                <w:sz w:val="22"/>
                <w:szCs w:val="22"/>
              </w:rPr>
            </w:pPr>
            <w:r w:rsidRPr="009F5CF2">
              <w:rPr>
                <w:rFonts w:ascii="Times New Roman" w:hAnsi="Times New Roman"/>
                <w:snapToGrid/>
                <w:color w:val="000000"/>
                <w:sz w:val="22"/>
                <w:szCs w:val="22"/>
              </w:rPr>
              <w:t>B-</w:t>
            </w:r>
          </w:p>
        </w:tc>
      </w:tr>
      <w:tr w:rsidR="00A4173F" w:rsidRPr="009F5CF2" w:rsidTr="00A4173F">
        <w:trPr>
          <w:trHeight w:val="300"/>
        </w:trPr>
        <w:tc>
          <w:tcPr>
            <w:tcW w:w="542" w:type="dxa"/>
            <w:tcBorders>
              <w:top w:val="nil"/>
              <w:left w:val="single" w:sz="8" w:space="0" w:color="auto"/>
              <w:bottom w:val="single" w:sz="4" w:space="0" w:color="auto"/>
              <w:right w:val="single" w:sz="4" w:space="0" w:color="auto"/>
            </w:tcBorders>
            <w:shd w:val="clear" w:color="auto" w:fill="auto"/>
            <w:noWrap/>
            <w:vAlign w:val="bottom"/>
            <w:hideMark/>
          </w:tcPr>
          <w:p w:rsidR="00A4173F" w:rsidRPr="009F5CF2" w:rsidRDefault="00A4173F" w:rsidP="00A4173F">
            <w:pPr>
              <w:widowControl/>
              <w:jc w:val="center"/>
              <w:rPr>
                <w:rFonts w:ascii="Times New Roman" w:hAnsi="Times New Roman"/>
                <w:snapToGrid/>
                <w:color w:val="000000"/>
                <w:sz w:val="22"/>
                <w:szCs w:val="22"/>
              </w:rPr>
            </w:pPr>
            <w:r w:rsidRPr="009F5CF2">
              <w:rPr>
                <w:rFonts w:ascii="Times New Roman" w:hAnsi="Times New Roman"/>
                <w:snapToGrid/>
                <w:color w:val="000000"/>
                <w:sz w:val="22"/>
                <w:szCs w:val="22"/>
              </w:rPr>
              <w:t>77</w:t>
            </w:r>
          </w:p>
        </w:tc>
        <w:tc>
          <w:tcPr>
            <w:tcW w:w="2112" w:type="dxa"/>
            <w:tcBorders>
              <w:top w:val="nil"/>
              <w:left w:val="nil"/>
              <w:bottom w:val="single" w:sz="4" w:space="0" w:color="auto"/>
              <w:right w:val="single" w:sz="4" w:space="0" w:color="auto"/>
            </w:tcBorders>
            <w:shd w:val="clear" w:color="auto" w:fill="auto"/>
            <w:noWrap/>
            <w:vAlign w:val="bottom"/>
            <w:hideMark/>
          </w:tcPr>
          <w:p w:rsidR="00A4173F" w:rsidRPr="009F5CF2" w:rsidRDefault="00A4173F" w:rsidP="00A4173F">
            <w:pPr>
              <w:widowControl/>
              <w:jc w:val="center"/>
              <w:rPr>
                <w:rFonts w:ascii="Times New Roman" w:hAnsi="Times New Roman"/>
                <w:snapToGrid/>
                <w:color w:val="000000"/>
                <w:sz w:val="22"/>
                <w:szCs w:val="22"/>
              </w:rPr>
            </w:pPr>
            <w:r w:rsidRPr="009F5CF2">
              <w:rPr>
                <w:rFonts w:ascii="Times New Roman" w:hAnsi="Times New Roman"/>
                <w:snapToGrid/>
                <w:color w:val="000000"/>
                <w:sz w:val="22"/>
                <w:szCs w:val="22"/>
              </w:rPr>
              <w:t>79</w:t>
            </w:r>
          </w:p>
        </w:tc>
        <w:tc>
          <w:tcPr>
            <w:tcW w:w="626" w:type="dxa"/>
            <w:tcBorders>
              <w:top w:val="nil"/>
              <w:left w:val="nil"/>
              <w:bottom w:val="single" w:sz="4" w:space="0" w:color="auto"/>
              <w:right w:val="single" w:sz="8" w:space="0" w:color="auto"/>
            </w:tcBorders>
            <w:shd w:val="clear" w:color="auto" w:fill="auto"/>
            <w:noWrap/>
            <w:vAlign w:val="bottom"/>
            <w:hideMark/>
          </w:tcPr>
          <w:p w:rsidR="00A4173F" w:rsidRPr="009F5CF2" w:rsidRDefault="00A4173F" w:rsidP="00A4173F">
            <w:pPr>
              <w:widowControl/>
              <w:jc w:val="center"/>
              <w:rPr>
                <w:rFonts w:ascii="Times New Roman" w:hAnsi="Times New Roman"/>
                <w:snapToGrid/>
                <w:color w:val="000000"/>
                <w:sz w:val="22"/>
                <w:szCs w:val="22"/>
              </w:rPr>
            </w:pPr>
            <w:r w:rsidRPr="009F5CF2">
              <w:rPr>
                <w:rFonts w:ascii="Times New Roman" w:hAnsi="Times New Roman"/>
                <w:snapToGrid/>
                <w:color w:val="000000"/>
                <w:sz w:val="22"/>
                <w:szCs w:val="22"/>
              </w:rPr>
              <w:t>C+</w:t>
            </w:r>
          </w:p>
        </w:tc>
      </w:tr>
      <w:tr w:rsidR="00A4173F" w:rsidRPr="009F5CF2" w:rsidTr="00A4173F">
        <w:trPr>
          <w:trHeight w:val="300"/>
        </w:trPr>
        <w:tc>
          <w:tcPr>
            <w:tcW w:w="542" w:type="dxa"/>
            <w:tcBorders>
              <w:top w:val="nil"/>
              <w:left w:val="single" w:sz="8" w:space="0" w:color="auto"/>
              <w:bottom w:val="single" w:sz="4" w:space="0" w:color="auto"/>
              <w:right w:val="single" w:sz="4" w:space="0" w:color="auto"/>
            </w:tcBorders>
            <w:shd w:val="clear" w:color="auto" w:fill="auto"/>
            <w:noWrap/>
            <w:vAlign w:val="bottom"/>
            <w:hideMark/>
          </w:tcPr>
          <w:p w:rsidR="00A4173F" w:rsidRPr="009F5CF2" w:rsidRDefault="00A4173F" w:rsidP="00A4173F">
            <w:pPr>
              <w:widowControl/>
              <w:jc w:val="center"/>
              <w:rPr>
                <w:rFonts w:ascii="Times New Roman" w:hAnsi="Times New Roman"/>
                <w:snapToGrid/>
                <w:color w:val="000000"/>
                <w:sz w:val="22"/>
                <w:szCs w:val="22"/>
              </w:rPr>
            </w:pPr>
            <w:r w:rsidRPr="009F5CF2">
              <w:rPr>
                <w:rFonts w:ascii="Times New Roman" w:hAnsi="Times New Roman"/>
                <w:snapToGrid/>
                <w:color w:val="000000"/>
                <w:sz w:val="22"/>
                <w:szCs w:val="22"/>
              </w:rPr>
              <w:t>73</w:t>
            </w:r>
          </w:p>
        </w:tc>
        <w:tc>
          <w:tcPr>
            <w:tcW w:w="2112" w:type="dxa"/>
            <w:tcBorders>
              <w:top w:val="nil"/>
              <w:left w:val="nil"/>
              <w:bottom w:val="single" w:sz="4" w:space="0" w:color="auto"/>
              <w:right w:val="single" w:sz="4" w:space="0" w:color="auto"/>
            </w:tcBorders>
            <w:shd w:val="clear" w:color="auto" w:fill="auto"/>
            <w:noWrap/>
            <w:vAlign w:val="bottom"/>
            <w:hideMark/>
          </w:tcPr>
          <w:p w:rsidR="00A4173F" w:rsidRPr="009F5CF2" w:rsidRDefault="00A4173F" w:rsidP="00A4173F">
            <w:pPr>
              <w:widowControl/>
              <w:jc w:val="center"/>
              <w:rPr>
                <w:rFonts w:ascii="Times New Roman" w:hAnsi="Times New Roman"/>
                <w:snapToGrid/>
                <w:color w:val="000000"/>
                <w:sz w:val="22"/>
                <w:szCs w:val="22"/>
              </w:rPr>
            </w:pPr>
            <w:r w:rsidRPr="009F5CF2">
              <w:rPr>
                <w:rFonts w:ascii="Times New Roman" w:hAnsi="Times New Roman"/>
                <w:snapToGrid/>
                <w:color w:val="000000"/>
                <w:sz w:val="22"/>
                <w:szCs w:val="22"/>
              </w:rPr>
              <w:t>76</w:t>
            </w:r>
          </w:p>
        </w:tc>
        <w:tc>
          <w:tcPr>
            <w:tcW w:w="626" w:type="dxa"/>
            <w:tcBorders>
              <w:top w:val="nil"/>
              <w:left w:val="nil"/>
              <w:bottom w:val="single" w:sz="4" w:space="0" w:color="auto"/>
              <w:right w:val="single" w:sz="8" w:space="0" w:color="auto"/>
            </w:tcBorders>
            <w:shd w:val="clear" w:color="auto" w:fill="auto"/>
            <w:noWrap/>
            <w:vAlign w:val="bottom"/>
            <w:hideMark/>
          </w:tcPr>
          <w:p w:rsidR="00A4173F" w:rsidRPr="009F5CF2" w:rsidRDefault="00A4173F" w:rsidP="00A4173F">
            <w:pPr>
              <w:widowControl/>
              <w:jc w:val="center"/>
              <w:rPr>
                <w:rFonts w:ascii="Times New Roman" w:hAnsi="Times New Roman"/>
                <w:snapToGrid/>
                <w:color w:val="000000"/>
                <w:sz w:val="22"/>
                <w:szCs w:val="22"/>
              </w:rPr>
            </w:pPr>
            <w:r w:rsidRPr="009F5CF2">
              <w:rPr>
                <w:rFonts w:ascii="Times New Roman" w:hAnsi="Times New Roman"/>
                <w:snapToGrid/>
                <w:color w:val="000000"/>
                <w:sz w:val="22"/>
                <w:szCs w:val="22"/>
              </w:rPr>
              <w:t xml:space="preserve">C </w:t>
            </w:r>
          </w:p>
        </w:tc>
      </w:tr>
      <w:tr w:rsidR="00A4173F" w:rsidRPr="009F5CF2" w:rsidTr="00A4173F">
        <w:trPr>
          <w:trHeight w:val="300"/>
        </w:trPr>
        <w:tc>
          <w:tcPr>
            <w:tcW w:w="542" w:type="dxa"/>
            <w:tcBorders>
              <w:top w:val="nil"/>
              <w:left w:val="single" w:sz="8" w:space="0" w:color="auto"/>
              <w:bottom w:val="single" w:sz="4" w:space="0" w:color="auto"/>
              <w:right w:val="single" w:sz="4" w:space="0" w:color="auto"/>
            </w:tcBorders>
            <w:shd w:val="clear" w:color="auto" w:fill="auto"/>
            <w:noWrap/>
            <w:vAlign w:val="bottom"/>
            <w:hideMark/>
          </w:tcPr>
          <w:p w:rsidR="00A4173F" w:rsidRPr="009F5CF2" w:rsidRDefault="00A4173F" w:rsidP="00A4173F">
            <w:pPr>
              <w:widowControl/>
              <w:jc w:val="center"/>
              <w:rPr>
                <w:rFonts w:ascii="Times New Roman" w:hAnsi="Times New Roman"/>
                <w:snapToGrid/>
                <w:color w:val="000000"/>
                <w:sz w:val="22"/>
                <w:szCs w:val="22"/>
              </w:rPr>
            </w:pPr>
            <w:r w:rsidRPr="009F5CF2">
              <w:rPr>
                <w:rFonts w:ascii="Times New Roman" w:hAnsi="Times New Roman"/>
                <w:snapToGrid/>
                <w:color w:val="000000"/>
                <w:sz w:val="22"/>
                <w:szCs w:val="22"/>
              </w:rPr>
              <w:t>70</w:t>
            </w:r>
          </w:p>
        </w:tc>
        <w:tc>
          <w:tcPr>
            <w:tcW w:w="2112" w:type="dxa"/>
            <w:tcBorders>
              <w:top w:val="nil"/>
              <w:left w:val="nil"/>
              <w:bottom w:val="single" w:sz="4" w:space="0" w:color="auto"/>
              <w:right w:val="single" w:sz="4" w:space="0" w:color="auto"/>
            </w:tcBorders>
            <w:shd w:val="clear" w:color="auto" w:fill="auto"/>
            <w:noWrap/>
            <w:vAlign w:val="bottom"/>
            <w:hideMark/>
          </w:tcPr>
          <w:p w:rsidR="00A4173F" w:rsidRPr="009F5CF2" w:rsidRDefault="00A4173F" w:rsidP="00A4173F">
            <w:pPr>
              <w:widowControl/>
              <w:jc w:val="center"/>
              <w:rPr>
                <w:rFonts w:ascii="Times New Roman" w:hAnsi="Times New Roman"/>
                <w:snapToGrid/>
                <w:color w:val="000000"/>
                <w:sz w:val="22"/>
                <w:szCs w:val="22"/>
              </w:rPr>
            </w:pPr>
            <w:r w:rsidRPr="009F5CF2">
              <w:rPr>
                <w:rFonts w:ascii="Times New Roman" w:hAnsi="Times New Roman"/>
                <w:snapToGrid/>
                <w:color w:val="000000"/>
                <w:sz w:val="22"/>
                <w:szCs w:val="22"/>
              </w:rPr>
              <w:t>72</w:t>
            </w:r>
          </w:p>
        </w:tc>
        <w:tc>
          <w:tcPr>
            <w:tcW w:w="626" w:type="dxa"/>
            <w:tcBorders>
              <w:top w:val="nil"/>
              <w:left w:val="nil"/>
              <w:bottom w:val="single" w:sz="4" w:space="0" w:color="auto"/>
              <w:right w:val="single" w:sz="8" w:space="0" w:color="auto"/>
            </w:tcBorders>
            <w:shd w:val="clear" w:color="auto" w:fill="auto"/>
            <w:noWrap/>
            <w:vAlign w:val="bottom"/>
            <w:hideMark/>
          </w:tcPr>
          <w:p w:rsidR="00A4173F" w:rsidRPr="009F5CF2" w:rsidRDefault="00A4173F" w:rsidP="00A4173F">
            <w:pPr>
              <w:widowControl/>
              <w:jc w:val="center"/>
              <w:rPr>
                <w:rFonts w:ascii="Times New Roman" w:hAnsi="Times New Roman"/>
                <w:snapToGrid/>
                <w:color w:val="000000"/>
                <w:sz w:val="22"/>
                <w:szCs w:val="22"/>
              </w:rPr>
            </w:pPr>
            <w:r w:rsidRPr="009F5CF2">
              <w:rPr>
                <w:rFonts w:ascii="Times New Roman" w:hAnsi="Times New Roman"/>
                <w:snapToGrid/>
                <w:color w:val="000000"/>
                <w:sz w:val="22"/>
                <w:szCs w:val="22"/>
              </w:rPr>
              <w:t>C-</w:t>
            </w:r>
          </w:p>
        </w:tc>
      </w:tr>
      <w:tr w:rsidR="00A4173F" w:rsidRPr="009F5CF2" w:rsidTr="00A4173F">
        <w:trPr>
          <w:trHeight w:val="300"/>
        </w:trPr>
        <w:tc>
          <w:tcPr>
            <w:tcW w:w="542" w:type="dxa"/>
            <w:tcBorders>
              <w:top w:val="nil"/>
              <w:left w:val="single" w:sz="8" w:space="0" w:color="auto"/>
              <w:bottom w:val="single" w:sz="4" w:space="0" w:color="auto"/>
              <w:right w:val="single" w:sz="4" w:space="0" w:color="auto"/>
            </w:tcBorders>
            <w:shd w:val="clear" w:color="auto" w:fill="auto"/>
            <w:noWrap/>
            <w:vAlign w:val="bottom"/>
            <w:hideMark/>
          </w:tcPr>
          <w:p w:rsidR="00A4173F" w:rsidRPr="009F5CF2" w:rsidRDefault="00A4173F" w:rsidP="00A4173F">
            <w:pPr>
              <w:widowControl/>
              <w:jc w:val="center"/>
              <w:rPr>
                <w:rFonts w:ascii="Times New Roman" w:hAnsi="Times New Roman"/>
                <w:snapToGrid/>
                <w:color w:val="000000"/>
                <w:sz w:val="22"/>
                <w:szCs w:val="22"/>
              </w:rPr>
            </w:pPr>
            <w:r w:rsidRPr="009F5CF2">
              <w:rPr>
                <w:rFonts w:ascii="Times New Roman" w:hAnsi="Times New Roman"/>
                <w:snapToGrid/>
                <w:color w:val="000000"/>
                <w:sz w:val="22"/>
                <w:szCs w:val="22"/>
              </w:rPr>
              <w:t>67</w:t>
            </w:r>
          </w:p>
        </w:tc>
        <w:tc>
          <w:tcPr>
            <w:tcW w:w="2112" w:type="dxa"/>
            <w:tcBorders>
              <w:top w:val="nil"/>
              <w:left w:val="nil"/>
              <w:bottom w:val="single" w:sz="4" w:space="0" w:color="auto"/>
              <w:right w:val="single" w:sz="4" w:space="0" w:color="auto"/>
            </w:tcBorders>
            <w:shd w:val="clear" w:color="auto" w:fill="auto"/>
            <w:noWrap/>
            <w:vAlign w:val="bottom"/>
            <w:hideMark/>
          </w:tcPr>
          <w:p w:rsidR="00A4173F" w:rsidRPr="009F5CF2" w:rsidRDefault="00A4173F" w:rsidP="00A4173F">
            <w:pPr>
              <w:widowControl/>
              <w:jc w:val="center"/>
              <w:rPr>
                <w:rFonts w:ascii="Times New Roman" w:hAnsi="Times New Roman"/>
                <w:snapToGrid/>
                <w:color w:val="000000"/>
                <w:sz w:val="22"/>
                <w:szCs w:val="22"/>
              </w:rPr>
            </w:pPr>
            <w:r w:rsidRPr="009F5CF2">
              <w:rPr>
                <w:rFonts w:ascii="Times New Roman" w:hAnsi="Times New Roman"/>
                <w:snapToGrid/>
                <w:color w:val="000000"/>
                <w:sz w:val="22"/>
                <w:szCs w:val="22"/>
              </w:rPr>
              <w:t>69</w:t>
            </w:r>
          </w:p>
        </w:tc>
        <w:tc>
          <w:tcPr>
            <w:tcW w:w="626" w:type="dxa"/>
            <w:tcBorders>
              <w:top w:val="nil"/>
              <w:left w:val="nil"/>
              <w:bottom w:val="single" w:sz="4" w:space="0" w:color="auto"/>
              <w:right w:val="single" w:sz="8" w:space="0" w:color="auto"/>
            </w:tcBorders>
            <w:shd w:val="clear" w:color="auto" w:fill="auto"/>
            <w:noWrap/>
            <w:vAlign w:val="bottom"/>
            <w:hideMark/>
          </w:tcPr>
          <w:p w:rsidR="00A4173F" w:rsidRPr="009F5CF2" w:rsidRDefault="00A4173F" w:rsidP="00A4173F">
            <w:pPr>
              <w:widowControl/>
              <w:jc w:val="center"/>
              <w:rPr>
                <w:rFonts w:ascii="Times New Roman" w:hAnsi="Times New Roman"/>
                <w:snapToGrid/>
                <w:color w:val="000000"/>
                <w:sz w:val="22"/>
                <w:szCs w:val="22"/>
              </w:rPr>
            </w:pPr>
            <w:r w:rsidRPr="009F5CF2">
              <w:rPr>
                <w:rFonts w:ascii="Times New Roman" w:hAnsi="Times New Roman"/>
                <w:snapToGrid/>
                <w:color w:val="000000"/>
                <w:sz w:val="22"/>
                <w:szCs w:val="22"/>
              </w:rPr>
              <w:t>D+</w:t>
            </w:r>
          </w:p>
        </w:tc>
      </w:tr>
      <w:tr w:rsidR="00A4173F" w:rsidRPr="009F5CF2" w:rsidTr="00A4173F">
        <w:trPr>
          <w:trHeight w:val="300"/>
        </w:trPr>
        <w:tc>
          <w:tcPr>
            <w:tcW w:w="542" w:type="dxa"/>
            <w:tcBorders>
              <w:top w:val="nil"/>
              <w:left w:val="single" w:sz="8" w:space="0" w:color="auto"/>
              <w:bottom w:val="single" w:sz="4" w:space="0" w:color="auto"/>
              <w:right w:val="single" w:sz="4" w:space="0" w:color="auto"/>
            </w:tcBorders>
            <w:shd w:val="clear" w:color="auto" w:fill="auto"/>
            <w:noWrap/>
            <w:vAlign w:val="bottom"/>
            <w:hideMark/>
          </w:tcPr>
          <w:p w:rsidR="00A4173F" w:rsidRPr="009F5CF2" w:rsidRDefault="00A4173F" w:rsidP="00A4173F">
            <w:pPr>
              <w:widowControl/>
              <w:jc w:val="center"/>
              <w:rPr>
                <w:rFonts w:ascii="Times New Roman" w:hAnsi="Times New Roman"/>
                <w:snapToGrid/>
                <w:color w:val="000000"/>
                <w:sz w:val="22"/>
                <w:szCs w:val="22"/>
              </w:rPr>
            </w:pPr>
            <w:r w:rsidRPr="009F5CF2">
              <w:rPr>
                <w:rFonts w:ascii="Times New Roman" w:hAnsi="Times New Roman"/>
                <w:snapToGrid/>
                <w:color w:val="000000"/>
                <w:sz w:val="22"/>
                <w:szCs w:val="22"/>
              </w:rPr>
              <w:t>63</w:t>
            </w:r>
          </w:p>
        </w:tc>
        <w:tc>
          <w:tcPr>
            <w:tcW w:w="2112" w:type="dxa"/>
            <w:tcBorders>
              <w:top w:val="nil"/>
              <w:left w:val="nil"/>
              <w:bottom w:val="single" w:sz="4" w:space="0" w:color="auto"/>
              <w:right w:val="single" w:sz="4" w:space="0" w:color="auto"/>
            </w:tcBorders>
            <w:shd w:val="clear" w:color="auto" w:fill="auto"/>
            <w:noWrap/>
            <w:vAlign w:val="bottom"/>
            <w:hideMark/>
          </w:tcPr>
          <w:p w:rsidR="00A4173F" w:rsidRPr="009F5CF2" w:rsidRDefault="00A4173F" w:rsidP="00A4173F">
            <w:pPr>
              <w:widowControl/>
              <w:jc w:val="center"/>
              <w:rPr>
                <w:rFonts w:ascii="Times New Roman" w:hAnsi="Times New Roman"/>
                <w:snapToGrid/>
                <w:color w:val="000000"/>
                <w:sz w:val="22"/>
                <w:szCs w:val="22"/>
              </w:rPr>
            </w:pPr>
            <w:r w:rsidRPr="009F5CF2">
              <w:rPr>
                <w:rFonts w:ascii="Times New Roman" w:hAnsi="Times New Roman"/>
                <w:snapToGrid/>
                <w:color w:val="000000"/>
                <w:sz w:val="22"/>
                <w:szCs w:val="22"/>
              </w:rPr>
              <w:t>66</w:t>
            </w:r>
          </w:p>
        </w:tc>
        <w:tc>
          <w:tcPr>
            <w:tcW w:w="626" w:type="dxa"/>
            <w:tcBorders>
              <w:top w:val="nil"/>
              <w:left w:val="nil"/>
              <w:bottom w:val="single" w:sz="4" w:space="0" w:color="auto"/>
              <w:right w:val="single" w:sz="8" w:space="0" w:color="auto"/>
            </w:tcBorders>
            <w:shd w:val="clear" w:color="auto" w:fill="auto"/>
            <w:noWrap/>
            <w:vAlign w:val="bottom"/>
            <w:hideMark/>
          </w:tcPr>
          <w:p w:rsidR="00A4173F" w:rsidRPr="009F5CF2" w:rsidRDefault="00A4173F" w:rsidP="00A4173F">
            <w:pPr>
              <w:widowControl/>
              <w:jc w:val="center"/>
              <w:rPr>
                <w:rFonts w:ascii="Times New Roman" w:hAnsi="Times New Roman"/>
                <w:snapToGrid/>
                <w:color w:val="000000"/>
                <w:sz w:val="22"/>
                <w:szCs w:val="22"/>
              </w:rPr>
            </w:pPr>
            <w:r w:rsidRPr="009F5CF2">
              <w:rPr>
                <w:rFonts w:ascii="Times New Roman" w:hAnsi="Times New Roman"/>
                <w:snapToGrid/>
                <w:color w:val="000000"/>
                <w:sz w:val="22"/>
                <w:szCs w:val="22"/>
              </w:rPr>
              <w:t xml:space="preserve">D </w:t>
            </w:r>
          </w:p>
        </w:tc>
      </w:tr>
      <w:tr w:rsidR="00A4173F" w:rsidRPr="009F5CF2" w:rsidTr="00A4173F">
        <w:trPr>
          <w:trHeight w:val="300"/>
        </w:trPr>
        <w:tc>
          <w:tcPr>
            <w:tcW w:w="542" w:type="dxa"/>
            <w:tcBorders>
              <w:top w:val="nil"/>
              <w:left w:val="single" w:sz="8" w:space="0" w:color="auto"/>
              <w:bottom w:val="nil"/>
              <w:right w:val="single" w:sz="4" w:space="0" w:color="auto"/>
            </w:tcBorders>
            <w:shd w:val="clear" w:color="auto" w:fill="auto"/>
            <w:noWrap/>
            <w:vAlign w:val="bottom"/>
            <w:hideMark/>
          </w:tcPr>
          <w:p w:rsidR="00A4173F" w:rsidRPr="009F5CF2" w:rsidRDefault="00A4173F" w:rsidP="00A4173F">
            <w:pPr>
              <w:widowControl/>
              <w:jc w:val="center"/>
              <w:rPr>
                <w:rFonts w:ascii="Times New Roman" w:hAnsi="Times New Roman"/>
                <w:snapToGrid/>
                <w:color w:val="000000"/>
                <w:sz w:val="22"/>
                <w:szCs w:val="22"/>
              </w:rPr>
            </w:pPr>
            <w:r w:rsidRPr="009F5CF2">
              <w:rPr>
                <w:rFonts w:ascii="Times New Roman" w:hAnsi="Times New Roman"/>
                <w:snapToGrid/>
                <w:color w:val="000000"/>
                <w:sz w:val="22"/>
                <w:szCs w:val="22"/>
              </w:rPr>
              <w:t>60</w:t>
            </w:r>
          </w:p>
        </w:tc>
        <w:tc>
          <w:tcPr>
            <w:tcW w:w="2112" w:type="dxa"/>
            <w:tcBorders>
              <w:top w:val="nil"/>
              <w:left w:val="nil"/>
              <w:bottom w:val="nil"/>
              <w:right w:val="single" w:sz="4" w:space="0" w:color="auto"/>
            </w:tcBorders>
            <w:shd w:val="clear" w:color="auto" w:fill="auto"/>
            <w:noWrap/>
            <w:vAlign w:val="bottom"/>
            <w:hideMark/>
          </w:tcPr>
          <w:p w:rsidR="00A4173F" w:rsidRPr="009F5CF2" w:rsidRDefault="00A4173F" w:rsidP="00A4173F">
            <w:pPr>
              <w:widowControl/>
              <w:jc w:val="center"/>
              <w:rPr>
                <w:rFonts w:ascii="Times New Roman" w:hAnsi="Times New Roman"/>
                <w:snapToGrid/>
                <w:color w:val="000000"/>
                <w:sz w:val="22"/>
                <w:szCs w:val="22"/>
              </w:rPr>
            </w:pPr>
            <w:r w:rsidRPr="009F5CF2">
              <w:rPr>
                <w:rFonts w:ascii="Times New Roman" w:hAnsi="Times New Roman"/>
                <w:snapToGrid/>
                <w:color w:val="000000"/>
                <w:sz w:val="22"/>
                <w:szCs w:val="22"/>
              </w:rPr>
              <w:t>62</w:t>
            </w:r>
          </w:p>
        </w:tc>
        <w:tc>
          <w:tcPr>
            <w:tcW w:w="626" w:type="dxa"/>
            <w:tcBorders>
              <w:top w:val="nil"/>
              <w:left w:val="nil"/>
              <w:bottom w:val="nil"/>
              <w:right w:val="single" w:sz="8" w:space="0" w:color="auto"/>
            </w:tcBorders>
            <w:shd w:val="clear" w:color="auto" w:fill="auto"/>
            <w:noWrap/>
            <w:vAlign w:val="bottom"/>
            <w:hideMark/>
          </w:tcPr>
          <w:p w:rsidR="00A4173F" w:rsidRPr="009F5CF2" w:rsidRDefault="00A4173F" w:rsidP="00A4173F">
            <w:pPr>
              <w:widowControl/>
              <w:jc w:val="center"/>
              <w:rPr>
                <w:rFonts w:ascii="Times New Roman" w:hAnsi="Times New Roman"/>
                <w:snapToGrid/>
                <w:color w:val="000000"/>
                <w:sz w:val="22"/>
                <w:szCs w:val="22"/>
              </w:rPr>
            </w:pPr>
            <w:r w:rsidRPr="009F5CF2">
              <w:rPr>
                <w:rFonts w:ascii="Times New Roman" w:hAnsi="Times New Roman"/>
                <w:snapToGrid/>
                <w:color w:val="000000"/>
                <w:sz w:val="22"/>
                <w:szCs w:val="22"/>
              </w:rPr>
              <w:t>D-</w:t>
            </w:r>
          </w:p>
        </w:tc>
      </w:tr>
      <w:tr w:rsidR="00A4173F" w:rsidRPr="009F5CF2" w:rsidTr="00A4173F">
        <w:trPr>
          <w:trHeight w:val="315"/>
        </w:trPr>
        <w:tc>
          <w:tcPr>
            <w:tcW w:w="542"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4173F" w:rsidRPr="009F5CF2" w:rsidRDefault="00A4173F" w:rsidP="00A4173F">
            <w:pPr>
              <w:widowControl/>
              <w:jc w:val="center"/>
              <w:rPr>
                <w:rFonts w:ascii="Times New Roman" w:hAnsi="Times New Roman"/>
                <w:snapToGrid/>
                <w:color w:val="000000"/>
                <w:sz w:val="22"/>
                <w:szCs w:val="22"/>
              </w:rPr>
            </w:pPr>
            <w:r w:rsidRPr="009F5CF2">
              <w:rPr>
                <w:rFonts w:ascii="Times New Roman" w:hAnsi="Times New Roman"/>
                <w:snapToGrid/>
                <w:color w:val="000000"/>
                <w:sz w:val="22"/>
                <w:szCs w:val="22"/>
              </w:rPr>
              <w:t>0</w:t>
            </w:r>
          </w:p>
        </w:tc>
        <w:tc>
          <w:tcPr>
            <w:tcW w:w="2112" w:type="dxa"/>
            <w:tcBorders>
              <w:top w:val="single" w:sz="4" w:space="0" w:color="auto"/>
              <w:left w:val="nil"/>
              <w:bottom w:val="single" w:sz="8" w:space="0" w:color="auto"/>
              <w:right w:val="single" w:sz="4" w:space="0" w:color="auto"/>
            </w:tcBorders>
            <w:shd w:val="clear" w:color="auto" w:fill="auto"/>
            <w:noWrap/>
            <w:vAlign w:val="bottom"/>
            <w:hideMark/>
          </w:tcPr>
          <w:p w:rsidR="00A4173F" w:rsidRPr="009F5CF2" w:rsidRDefault="00A4173F" w:rsidP="00A4173F">
            <w:pPr>
              <w:widowControl/>
              <w:jc w:val="center"/>
              <w:rPr>
                <w:rFonts w:ascii="Times New Roman" w:hAnsi="Times New Roman"/>
                <w:snapToGrid/>
                <w:color w:val="000000"/>
                <w:sz w:val="22"/>
                <w:szCs w:val="22"/>
              </w:rPr>
            </w:pPr>
            <w:r w:rsidRPr="009F5CF2">
              <w:rPr>
                <w:rFonts w:ascii="Times New Roman" w:hAnsi="Times New Roman"/>
                <w:snapToGrid/>
                <w:color w:val="000000"/>
                <w:sz w:val="22"/>
                <w:szCs w:val="22"/>
              </w:rPr>
              <w:t>59</w:t>
            </w:r>
          </w:p>
        </w:tc>
        <w:tc>
          <w:tcPr>
            <w:tcW w:w="626" w:type="dxa"/>
            <w:tcBorders>
              <w:top w:val="single" w:sz="4" w:space="0" w:color="auto"/>
              <w:left w:val="nil"/>
              <w:bottom w:val="single" w:sz="8" w:space="0" w:color="auto"/>
              <w:right w:val="single" w:sz="8" w:space="0" w:color="auto"/>
            </w:tcBorders>
            <w:shd w:val="clear" w:color="auto" w:fill="auto"/>
            <w:noWrap/>
            <w:vAlign w:val="bottom"/>
            <w:hideMark/>
          </w:tcPr>
          <w:p w:rsidR="00A4173F" w:rsidRPr="009F5CF2" w:rsidRDefault="00A4173F" w:rsidP="00A4173F">
            <w:pPr>
              <w:widowControl/>
              <w:jc w:val="center"/>
              <w:rPr>
                <w:rFonts w:ascii="Times New Roman" w:hAnsi="Times New Roman"/>
                <w:snapToGrid/>
                <w:color w:val="000000"/>
                <w:sz w:val="22"/>
                <w:szCs w:val="22"/>
              </w:rPr>
            </w:pPr>
            <w:r w:rsidRPr="009F5CF2">
              <w:rPr>
                <w:rFonts w:ascii="Times New Roman" w:hAnsi="Times New Roman"/>
                <w:snapToGrid/>
                <w:color w:val="000000"/>
                <w:sz w:val="22"/>
                <w:szCs w:val="22"/>
              </w:rPr>
              <w:t>F</w:t>
            </w:r>
          </w:p>
        </w:tc>
      </w:tr>
    </w:tbl>
    <w:p w:rsidR="00A4173F" w:rsidRPr="009F5CF2" w:rsidRDefault="00A4173F">
      <w:pPr>
        <w:widowControl/>
        <w:spacing w:after="160" w:line="259" w:lineRule="auto"/>
        <w:rPr>
          <w:rFonts w:ascii="Times New Roman" w:eastAsia="SymbolMT" w:hAnsi="Times New Roman"/>
          <w:b/>
          <w:color w:val="000000"/>
          <w:sz w:val="22"/>
          <w:szCs w:val="22"/>
          <w:u w:val="single"/>
        </w:rPr>
      </w:pPr>
    </w:p>
    <w:p w:rsidR="00A4173F" w:rsidRPr="009F5CF2" w:rsidRDefault="00683046" w:rsidP="00683046">
      <w:pPr>
        <w:tabs>
          <w:tab w:val="left" w:pos="-1080"/>
          <w:tab w:val="left" w:pos="-720"/>
          <w:tab w:val="left" w:pos="0"/>
          <w:tab w:val="left" w:pos="720"/>
          <w:tab w:val="left" w:pos="1440"/>
          <w:tab w:val="left" w:pos="2160"/>
          <w:tab w:val="left" w:pos="2880"/>
          <w:tab w:val="left" w:pos="3600"/>
          <w:tab w:val="left" w:pos="4320"/>
          <w:tab w:val="left" w:pos="5040"/>
          <w:tab w:val="left" w:pos="5670"/>
          <w:tab w:val="left" w:pos="6480"/>
        </w:tabs>
        <w:spacing w:line="232" w:lineRule="auto"/>
        <w:ind w:left="2160" w:hanging="2160"/>
        <w:rPr>
          <w:rFonts w:ascii="Times New Roman" w:hAnsi="Times New Roman"/>
          <w:b/>
          <w:color w:val="2E74B5" w:themeColor="accent1" w:themeShade="BF"/>
          <w:sz w:val="22"/>
          <w:szCs w:val="22"/>
          <w:u w:val="single"/>
        </w:rPr>
      </w:pPr>
      <w:r w:rsidRPr="009F5CF2">
        <w:rPr>
          <w:rFonts w:ascii="Times New Roman" w:hAnsi="Times New Roman"/>
          <w:b/>
          <w:color w:val="2E74B5" w:themeColor="accent1" w:themeShade="BF"/>
          <w:sz w:val="22"/>
          <w:szCs w:val="22"/>
          <w:u w:val="single"/>
        </w:rPr>
        <w:t xml:space="preserve">Weightage of </w:t>
      </w:r>
      <w:r w:rsidR="00A4173F" w:rsidRPr="009F5CF2">
        <w:rPr>
          <w:rFonts w:ascii="Times New Roman" w:hAnsi="Times New Roman"/>
          <w:b/>
          <w:color w:val="2E74B5" w:themeColor="accent1" w:themeShade="BF"/>
          <w:sz w:val="22"/>
          <w:szCs w:val="22"/>
          <w:u w:val="single"/>
        </w:rPr>
        <w:t>Assignments:</w:t>
      </w:r>
    </w:p>
    <w:p w:rsidR="00683046" w:rsidRPr="009F5CF2" w:rsidRDefault="00683046" w:rsidP="00683046">
      <w:pPr>
        <w:rPr>
          <w:rFonts w:ascii="Times New Roman" w:hAnsi="Times New Roman"/>
          <w:snapToGrid/>
          <w:sz w:val="22"/>
          <w:szCs w:val="22"/>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84"/>
        <w:gridCol w:w="1436"/>
        <w:gridCol w:w="1115"/>
        <w:gridCol w:w="3960"/>
      </w:tblGrid>
      <w:tr w:rsidR="0081272D" w:rsidRPr="009F5CF2" w:rsidTr="00AC7D42">
        <w:trPr>
          <w:trHeight w:val="19"/>
          <w:tblHeader/>
        </w:trPr>
        <w:tc>
          <w:tcPr>
            <w:tcW w:w="2484" w:type="dxa"/>
            <w:shd w:val="clear" w:color="auto" w:fill="BFBFBF" w:themeFill="background1" w:themeFillShade="BF"/>
            <w:tcMar>
              <w:top w:w="90" w:type="dxa"/>
              <w:left w:w="90" w:type="dxa"/>
              <w:bottom w:w="90" w:type="dxa"/>
              <w:right w:w="90" w:type="dxa"/>
            </w:tcMar>
            <w:vAlign w:val="center"/>
            <w:hideMark/>
          </w:tcPr>
          <w:p w:rsidR="0081272D" w:rsidRPr="009F5CF2" w:rsidRDefault="0081272D" w:rsidP="00AC7D42">
            <w:pPr>
              <w:spacing w:before="100" w:beforeAutospacing="1" w:after="100" w:afterAutospacing="1"/>
              <w:jc w:val="center"/>
              <w:rPr>
                <w:rFonts w:ascii="Times New Roman" w:hAnsi="Times New Roman"/>
                <w:b/>
                <w:bCs/>
                <w:color w:val="1A1919"/>
                <w:sz w:val="22"/>
                <w:szCs w:val="22"/>
              </w:rPr>
            </w:pPr>
            <w:r w:rsidRPr="009F5CF2">
              <w:rPr>
                <w:rFonts w:ascii="Times New Roman" w:hAnsi="Times New Roman"/>
                <w:b/>
                <w:bCs/>
                <w:color w:val="1A1919"/>
                <w:sz w:val="22"/>
                <w:szCs w:val="22"/>
              </w:rPr>
              <w:t>Group</w:t>
            </w:r>
          </w:p>
        </w:tc>
        <w:tc>
          <w:tcPr>
            <w:tcW w:w="1436" w:type="dxa"/>
            <w:shd w:val="clear" w:color="auto" w:fill="BFBFBF" w:themeFill="background1" w:themeFillShade="BF"/>
            <w:vAlign w:val="center"/>
          </w:tcPr>
          <w:p w:rsidR="0081272D" w:rsidRPr="009F5CF2" w:rsidRDefault="0081272D" w:rsidP="00AC7D42">
            <w:pPr>
              <w:spacing w:before="100" w:beforeAutospacing="1" w:after="100" w:afterAutospacing="1"/>
              <w:jc w:val="center"/>
              <w:rPr>
                <w:rFonts w:ascii="Times New Roman" w:hAnsi="Times New Roman"/>
                <w:b/>
                <w:bCs/>
                <w:color w:val="1A1919"/>
                <w:sz w:val="22"/>
                <w:szCs w:val="22"/>
              </w:rPr>
            </w:pPr>
            <w:r>
              <w:rPr>
                <w:rFonts w:ascii="Times New Roman" w:hAnsi="Times New Roman"/>
                <w:b/>
                <w:bCs/>
                <w:color w:val="1A1919"/>
                <w:sz w:val="22"/>
                <w:szCs w:val="22"/>
              </w:rPr>
              <w:t>Points</w:t>
            </w:r>
          </w:p>
        </w:tc>
        <w:tc>
          <w:tcPr>
            <w:tcW w:w="1115" w:type="dxa"/>
            <w:shd w:val="clear" w:color="auto" w:fill="BFBFBF" w:themeFill="background1" w:themeFillShade="BF"/>
            <w:tcMar>
              <w:top w:w="90" w:type="dxa"/>
              <w:left w:w="90" w:type="dxa"/>
              <w:bottom w:w="90" w:type="dxa"/>
              <w:right w:w="90" w:type="dxa"/>
            </w:tcMar>
            <w:vAlign w:val="center"/>
            <w:hideMark/>
          </w:tcPr>
          <w:p w:rsidR="0081272D" w:rsidRPr="009F5CF2" w:rsidRDefault="0081272D" w:rsidP="00AC7D42">
            <w:pPr>
              <w:spacing w:before="100" w:beforeAutospacing="1" w:after="100" w:afterAutospacing="1"/>
              <w:jc w:val="center"/>
              <w:rPr>
                <w:rFonts w:ascii="Times New Roman" w:hAnsi="Times New Roman"/>
                <w:b/>
                <w:bCs/>
                <w:color w:val="1A1919"/>
                <w:sz w:val="22"/>
                <w:szCs w:val="22"/>
              </w:rPr>
            </w:pPr>
            <w:r w:rsidRPr="009F5CF2">
              <w:rPr>
                <w:rFonts w:ascii="Times New Roman" w:hAnsi="Times New Roman"/>
                <w:b/>
                <w:bCs/>
                <w:color w:val="1A1919"/>
                <w:sz w:val="22"/>
                <w:szCs w:val="22"/>
              </w:rPr>
              <w:t>Weight</w:t>
            </w:r>
          </w:p>
        </w:tc>
        <w:tc>
          <w:tcPr>
            <w:tcW w:w="3960" w:type="dxa"/>
            <w:shd w:val="clear" w:color="auto" w:fill="BFBFBF" w:themeFill="background1" w:themeFillShade="BF"/>
            <w:vAlign w:val="center"/>
          </w:tcPr>
          <w:p w:rsidR="0081272D" w:rsidRPr="009F5CF2" w:rsidRDefault="0081272D" w:rsidP="00AC7D42">
            <w:pPr>
              <w:spacing w:before="100" w:beforeAutospacing="1" w:after="100" w:afterAutospacing="1"/>
              <w:jc w:val="center"/>
              <w:rPr>
                <w:rFonts w:ascii="Times New Roman" w:hAnsi="Times New Roman"/>
                <w:b/>
                <w:bCs/>
                <w:color w:val="1A1919"/>
                <w:sz w:val="22"/>
                <w:szCs w:val="22"/>
              </w:rPr>
            </w:pPr>
            <w:r>
              <w:rPr>
                <w:rFonts w:ascii="Times New Roman" w:hAnsi="Times New Roman"/>
                <w:b/>
                <w:bCs/>
                <w:color w:val="1A1919"/>
                <w:sz w:val="22"/>
                <w:szCs w:val="22"/>
              </w:rPr>
              <w:t>Additional Comments</w:t>
            </w:r>
          </w:p>
        </w:tc>
      </w:tr>
      <w:tr w:rsidR="0081272D" w:rsidRPr="009F5CF2" w:rsidTr="00AC7D42">
        <w:trPr>
          <w:trHeight w:val="19"/>
        </w:trPr>
        <w:tc>
          <w:tcPr>
            <w:tcW w:w="2484" w:type="dxa"/>
            <w:shd w:val="clear" w:color="auto" w:fill="FFFFFF"/>
            <w:tcMar>
              <w:top w:w="90" w:type="dxa"/>
              <w:left w:w="90" w:type="dxa"/>
              <w:bottom w:w="90" w:type="dxa"/>
              <w:right w:w="90" w:type="dxa"/>
            </w:tcMar>
            <w:vAlign w:val="center"/>
            <w:hideMark/>
          </w:tcPr>
          <w:p w:rsidR="0081272D" w:rsidRPr="009F5CF2" w:rsidRDefault="0081272D" w:rsidP="00AC7D42">
            <w:pPr>
              <w:spacing w:before="100" w:beforeAutospacing="1" w:after="100" w:afterAutospacing="1"/>
              <w:rPr>
                <w:rFonts w:ascii="Times New Roman" w:hAnsi="Times New Roman"/>
                <w:bCs/>
                <w:color w:val="1A1919"/>
                <w:sz w:val="22"/>
                <w:szCs w:val="22"/>
              </w:rPr>
            </w:pPr>
            <w:r w:rsidRPr="009F5CF2">
              <w:rPr>
                <w:rFonts w:ascii="Times New Roman" w:hAnsi="Times New Roman"/>
                <w:bCs/>
                <w:color w:val="1A1919"/>
                <w:sz w:val="22"/>
                <w:szCs w:val="22"/>
              </w:rPr>
              <w:t>Final Project</w:t>
            </w:r>
          </w:p>
        </w:tc>
        <w:tc>
          <w:tcPr>
            <w:tcW w:w="1436" w:type="dxa"/>
            <w:shd w:val="clear" w:color="auto" w:fill="FFFFFF"/>
            <w:vAlign w:val="center"/>
          </w:tcPr>
          <w:p w:rsidR="0081272D" w:rsidRPr="009F5CF2" w:rsidRDefault="0081272D" w:rsidP="00AC7D42">
            <w:pPr>
              <w:spacing w:before="100" w:beforeAutospacing="1" w:after="100" w:afterAutospacing="1"/>
              <w:rPr>
                <w:rFonts w:ascii="Times New Roman" w:hAnsi="Times New Roman"/>
                <w:color w:val="1A1919"/>
                <w:sz w:val="22"/>
                <w:szCs w:val="22"/>
              </w:rPr>
            </w:pPr>
            <w:r>
              <w:rPr>
                <w:rFonts w:ascii="Times New Roman" w:hAnsi="Times New Roman"/>
                <w:color w:val="1A1919"/>
                <w:sz w:val="22"/>
                <w:szCs w:val="22"/>
              </w:rPr>
              <w:t>50 Points</w:t>
            </w:r>
          </w:p>
        </w:tc>
        <w:tc>
          <w:tcPr>
            <w:tcW w:w="1115" w:type="dxa"/>
            <w:shd w:val="clear" w:color="auto" w:fill="FFFFFF"/>
            <w:tcMar>
              <w:top w:w="90" w:type="dxa"/>
              <w:left w:w="90" w:type="dxa"/>
              <w:bottom w:w="90" w:type="dxa"/>
              <w:right w:w="90" w:type="dxa"/>
            </w:tcMar>
            <w:vAlign w:val="center"/>
            <w:hideMark/>
          </w:tcPr>
          <w:p w:rsidR="0081272D" w:rsidRPr="009F5CF2" w:rsidRDefault="0081272D" w:rsidP="00AC7D42">
            <w:pPr>
              <w:spacing w:before="100" w:beforeAutospacing="1" w:after="100" w:afterAutospacing="1"/>
              <w:jc w:val="right"/>
              <w:rPr>
                <w:rFonts w:ascii="Times New Roman" w:hAnsi="Times New Roman"/>
                <w:color w:val="1A1919"/>
                <w:sz w:val="22"/>
                <w:szCs w:val="22"/>
              </w:rPr>
            </w:pPr>
            <w:r w:rsidRPr="009F5CF2">
              <w:rPr>
                <w:rFonts w:ascii="Times New Roman" w:hAnsi="Times New Roman"/>
                <w:color w:val="1A1919"/>
                <w:sz w:val="22"/>
                <w:szCs w:val="22"/>
              </w:rPr>
              <w:t>50%</w:t>
            </w:r>
          </w:p>
        </w:tc>
        <w:tc>
          <w:tcPr>
            <w:tcW w:w="3960" w:type="dxa"/>
            <w:shd w:val="clear" w:color="auto" w:fill="FFFFFF"/>
            <w:vAlign w:val="center"/>
          </w:tcPr>
          <w:p w:rsidR="0081272D" w:rsidRPr="009F5CF2" w:rsidRDefault="0081272D" w:rsidP="00AC7D42">
            <w:pPr>
              <w:spacing w:before="100" w:beforeAutospacing="1" w:after="100" w:afterAutospacing="1"/>
              <w:rPr>
                <w:rFonts w:ascii="Times New Roman" w:hAnsi="Times New Roman"/>
                <w:color w:val="1A1919"/>
                <w:sz w:val="22"/>
                <w:szCs w:val="22"/>
              </w:rPr>
            </w:pPr>
          </w:p>
        </w:tc>
      </w:tr>
      <w:tr w:rsidR="0081272D" w:rsidRPr="009F5CF2" w:rsidTr="00AC7D42">
        <w:trPr>
          <w:trHeight w:val="19"/>
        </w:trPr>
        <w:tc>
          <w:tcPr>
            <w:tcW w:w="2484" w:type="dxa"/>
            <w:shd w:val="clear" w:color="auto" w:fill="FFFFFF"/>
            <w:tcMar>
              <w:top w:w="90" w:type="dxa"/>
              <w:left w:w="90" w:type="dxa"/>
              <w:bottom w:w="90" w:type="dxa"/>
              <w:right w:w="90" w:type="dxa"/>
            </w:tcMar>
            <w:vAlign w:val="center"/>
            <w:hideMark/>
          </w:tcPr>
          <w:p w:rsidR="0081272D" w:rsidRPr="009F5CF2" w:rsidRDefault="0081272D" w:rsidP="00AC7D42">
            <w:pPr>
              <w:spacing w:before="100" w:beforeAutospacing="1" w:after="100" w:afterAutospacing="1"/>
              <w:rPr>
                <w:rFonts w:ascii="Times New Roman" w:hAnsi="Times New Roman"/>
                <w:bCs/>
                <w:color w:val="1A1919"/>
                <w:sz w:val="22"/>
                <w:szCs w:val="22"/>
              </w:rPr>
            </w:pPr>
            <w:r w:rsidRPr="009F5CF2">
              <w:rPr>
                <w:rFonts w:ascii="Times New Roman" w:hAnsi="Times New Roman"/>
                <w:bCs/>
                <w:color w:val="1A1919"/>
                <w:sz w:val="22"/>
                <w:szCs w:val="22"/>
              </w:rPr>
              <w:t>Group Case Study</w:t>
            </w:r>
          </w:p>
        </w:tc>
        <w:tc>
          <w:tcPr>
            <w:tcW w:w="1436" w:type="dxa"/>
            <w:shd w:val="clear" w:color="auto" w:fill="FFFFFF"/>
            <w:vAlign w:val="center"/>
          </w:tcPr>
          <w:p w:rsidR="0081272D" w:rsidRPr="009F5CF2" w:rsidRDefault="0081272D" w:rsidP="00AC7D42">
            <w:pPr>
              <w:spacing w:before="100" w:beforeAutospacing="1" w:after="100" w:afterAutospacing="1"/>
              <w:rPr>
                <w:rFonts w:ascii="Times New Roman" w:hAnsi="Times New Roman"/>
                <w:color w:val="1A1919"/>
                <w:sz w:val="22"/>
                <w:szCs w:val="22"/>
              </w:rPr>
            </w:pPr>
            <w:r>
              <w:rPr>
                <w:rFonts w:ascii="Times New Roman" w:hAnsi="Times New Roman"/>
                <w:color w:val="1A1919"/>
                <w:sz w:val="22"/>
                <w:szCs w:val="22"/>
              </w:rPr>
              <w:t>20 Points each</w:t>
            </w:r>
          </w:p>
        </w:tc>
        <w:tc>
          <w:tcPr>
            <w:tcW w:w="1115" w:type="dxa"/>
            <w:shd w:val="clear" w:color="auto" w:fill="FFFFFF"/>
            <w:tcMar>
              <w:top w:w="90" w:type="dxa"/>
              <w:left w:w="90" w:type="dxa"/>
              <w:bottom w:w="90" w:type="dxa"/>
              <w:right w:w="90" w:type="dxa"/>
            </w:tcMar>
            <w:vAlign w:val="center"/>
            <w:hideMark/>
          </w:tcPr>
          <w:p w:rsidR="0081272D" w:rsidRPr="009F5CF2" w:rsidRDefault="0081272D" w:rsidP="00AC7D42">
            <w:pPr>
              <w:spacing w:before="100" w:beforeAutospacing="1" w:after="100" w:afterAutospacing="1"/>
              <w:jc w:val="right"/>
              <w:rPr>
                <w:rFonts w:ascii="Times New Roman" w:hAnsi="Times New Roman"/>
                <w:color w:val="1A1919"/>
                <w:sz w:val="22"/>
                <w:szCs w:val="22"/>
              </w:rPr>
            </w:pPr>
            <w:r w:rsidRPr="009F5CF2">
              <w:rPr>
                <w:rFonts w:ascii="Times New Roman" w:hAnsi="Times New Roman"/>
                <w:color w:val="1A1919"/>
                <w:sz w:val="22"/>
                <w:szCs w:val="22"/>
              </w:rPr>
              <w:t>20%</w:t>
            </w:r>
          </w:p>
        </w:tc>
        <w:tc>
          <w:tcPr>
            <w:tcW w:w="3960" w:type="dxa"/>
            <w:shd w:val="clear" w:color="auto" w:fill="FFFFFF"/>
            <w:vAlign w:val="center"/>
          </w:tcPr>
          <w:p w:rsidR="0081272D" w:rsidRPr="009F5CF2" w:rsidRDefault="0081272D" w:rsidP="00AC7D42">
            <w:pPr>
              <w:spacing w:before="100" w:beforeAutospacing="1" w:after="100" w:afterAutospacing="1"/>
              <w:rPr>
                <w:rFonts w:ascii="Times New Roman" w:hAnsi="Times New Roman"/>
                <w:color w:val="1A1919"/>
                <w:sz w:val="22"/>
                <w:szCs w:val="22"/>
              </w:rPr>
            </w:pPr>
          </w:p>
        </w:tc>
      </w:tr>
      <w:tr w:rsidR="0081272D" w:rsidRPr="009F5CF2" w:rsidTr="00AC7D42">
        <w:trPr>
          <w:trHeight w:val="19"/>
        </w:trPr>
        <w:tc>
          <w:tcPr>
            <w:tcW w:w="2484" w:type="dxa"/>
            <w:shd w:val="clear" w:color="auto" w:fill="FFFFFF"/>
            <w:tcMar>
              <w:top w:w="90" w:type="dxa"/>
              <w:left w:w="90" w:type="dxa"/>
              <w:bottom w:w="90" w:type="dxa"/>
              <w:right w:w="90" w:type="dxa"/>
            </w:tcMar>
            <w:vAlign w:val="center"/>
            <w:hideMark/>
          </w:tcPr>
          <w:p w:rsidR="0081272D" w:rsidRPr="009F5CF2" w:rsidRDefault="0081272D" w:rsidP="00AC7D42">
            <w:pPr>
              <w:spacing w:before="100" w:beforeAutospacing="1" w:after="100" w:afterAutospacing="1"/>
              <w:rPr>
                <w:rFonts w:ascii="Times New Roman" w:hAnsi="Times New Roman"/>
                <w:bCs/>
                <w:color w:val="1A1919"/>
                <w:sz w:val="22"/>
                <w:szCs w:val="22"/>
              </w:rPr>
            </w:pPr>
            <w:r w:rsidRPr="009F5CF2">
              <w:rPr>
                <w:rFonts w:ascii="Times New Roman" w:hAnsi="Times New Roman"/>
                <w:bCs/>
                <w:color w:val="1A1919"/>
                <w:sz w:val="22"/>
                <w:szCs w:val="22"/>
              </w:rPr>
              <w:t>Discussion Forum</w:t>
            </w:r>
          </w:p>
        </w:tc>
        <w:tc>
          <w:tcPr>
            <w:tcW w:w="1436" w:type="dxa"/>
            <w:shd w:val="clear" w:color="auto" w:fill="FFFFFF"/>
            <w:vAlign w:val="center"/>
          </w:tcPr>
          <w:p w:rsidR="0081272D" w:rsidRPr="009F5CF2" w:rsidRDefault="0081272D" w:rsidP="00AC7D42">
            <w:pPr>
              <w:spacing w:before="100" w:beforeAutospacing="1" w:after="100" w:afterAutospacing="1"/>
              <w:rPr>
                <w:rFonts w:ascii="Times New Roman" w:hAnsi="Times New Roman"/>
                <w:color w:val="1A1919"/>
                <w:sz w:val="22"/>
                <w:szCs w:val="22"/>
              </w:rPr>
            </w:pPr>
            <w:r>
              <w:rPr>
                <w:rFonts w:ascii="Times New Roman" w:hAnsi="Times New Roman"/>
                <w:color w:val="1A1919"/>
                <w:sz w:val="22"/>
                <w:szCs w:val="22"/>
              </w:rPr>
              <w:t>15 Points each</w:t>
            </w:r>
          </w:p>
        </w:tc>
        <w:tc>
          <w:tcPr>
            <w:tcW w:w="1115" w:type="dxa"/>
            <w:shd w:val="clear" w:color="auto" w:fill="FFFFFF"/>
            <w:tcMar>
              <w:top w:w="90" w:type="dxa"/>
              <w:left w:w="90" w:type="dxa"/>
              <w:bottom w:w="90" w:type="dxa"/>
              <w:right w:w="90" w:type="dxa"/>
            </w:tcMar>
            <w:vAlign w:val="center"/>
            <w:hideMark/>
          </w:tcPr>
          <w:p w:rsidR="0081272D" w:rsidRPr="009F5CF2" w:rsidRDefault="0081272D" w:rsidP="00AC7D42">
            <w:pPr>
              <w:spacing w:before="100" w:beforeAutospacing="1" w:after="100" w:afterAutospacing="1"/>
              <w:jc w:val="right"/>
              <w:rPr>
                <w:rFonts w:ascii="Times New Roman" w:hAnsi="Times New Roman"/>
                <w:color w:val="1A1919"/>
                <w:sz w:val="22"/>
                <w:szCs w:val="22"/>
              </w:rPr>
            </w:pPr>
            <w:r w:rsidRPr="009F5CF2">
              <w:rPr>
                <w:rFonts w:ascii="Times New Roman" w:hAnsi="Times New Roman"/>
                <w:color w:val="1A1919"/>
                <w:sz w:val="22"/>
                <w:szCs w:val="22"/>
              </w:rPr>
              <w:t>10%</w:t>
            </w:r>
          </w:p>
        </w:tc>
        <w:tc>
          <w:tcPr>
            <w:tcW w:w="3960" w:type="dxa"/>
            <w:shd w:val="clear" w:color="auto" w:fill="FFFFFF"/>
            <w:vAlign w:val="center"/>
          </w:tcPr>
          <w:p w:rsidR="0081272D" w:rsidRPr="009F5CF2" w:rsidRDefault="0081272D" w:rsidP="00AC7D42">
            <w:pPr>
              <w:spacing w:before="100" w:beforeAutospacing="1" w:after="100" w:afterAutospacing="1"/>
              <w:rPr>
                <w:rFonts w:ascii="Times New Roman" w:hAnsi="Times New Roman"/>
                <w:color w:val="1A1919"/>
                <w:sz w:val="22"/>
                <w:szCs w:val="22"/>
              </w:rPr>
            </w:pPr>
            <w:r w:rsidRPr="009F5CF2">
              <w:rPr>
                <w:rFonts w:ascii="Times New Roman" w:hAnsi="Times New Roman"/>
                <w:snapToGrid/>
                <w:color w:val="1A1919"/>
                <w:sz w:val="22"/>
                <w:szCs w:val="22"/>
              </w:rPr>
              <w:t xml:space="preserve">This will be evaluated in 2 parts: 10 points for </w:t>
            </w:r>
            <w:r>
              <w:rPr>
                <w:rFonts w:ascii="Times New Roman" w:hAnsi="Times New Roman"/>
                <w:snapToGrid/>
                <w:color w:val="1A1919"/>
                <w:sz w:val="22"/>
                <w:szCs w:val="22"/>
              </w:rPr>
              <w:t>individual</w:t>
            </w:r>
            <w:r w:rsidRPr="009F5CF2">
              <w:rPr>
                <w:rFonts w:ascii="Times New Roman" w:hAnsi="Times New Roman"/>
                <w:snapToGrid/>
                <w:color w:val="1A1919"/>
                <w:sz w:val="22"/>
                <w:szCs w:val="22"/>
              </w:rPr>
              <w:t xml:space="preserve"> contribution and 5 points for feedback to 2 other discussion threads.</w:t>
            </w:r>
          </w:p>
        </w:tc>
      </w:tr>
      <w:tr w:rsidR="0081272D" w:rsidRPr="009F5CF2" w:rsidTr="00AC7D42">
        <w:trPr>
          <w:trHeight w:val="19"/>
        </w:trPr>
        <w:tc>
          <w:tcPr>
            <w:tcW w:w="2484" w:type="dxa"/>
            <w:shd w:val="clear" w:color="auto" w:fill="FFFFFF"/>
            <w:tcMar>
              <w:top w:w="90" w:type="dxa"/>
              <w:left w:w="90" w:type="dxa"/>
              <w:bottom w:w="90" w:type="dxa"/>
              <w:right w:w="90" w:type="dxa"/>
            </w:tcMar>
            <w:vAlign w:val="center"/>
            <w:hideMark/>
          </w:tcPr>
          <w:p w:rsidR="0081272D" w:rsidRPr="009F5CF2" w:rsidRDefault="0081272D" w:rsidP="00AC7D42">
            <w:pPr>
              <w:spacing w:before="100" w:beforeAutospacing="1" w:after="100" w:afterAutospacing="1"/>
              <w:rPr>
                <w:rFonts w:ascii="Times New Roman" w:hAnsi="Times New Roman"/>
                <w:bCs/>
                <w:color w:val="1A1919"/>
                <w:sz w:val="22"/>
                <w:szCs w:val="22"/>
              </w:rPr>
            </w:pPr>
            <w:r w:rsidRPr="009F5CF2">
              <w:rPr>
                <w:rFonts w:ascii="Times New Roman" w:hAnsi="Times New Roman"/>
                <w:bCs/>
                <w:color w:val="1A1919"/>
                <w:sz w:val="22"/>
                <w:szCs w:val="22"/>
              </w:rPr>
              <w:t>Debate</w:t>
            </w:r>
          </w:p>
        </w:tc>
        <w:tc>
          <w:tcPr>
            <w:tcW w:w="1436" w:type="dxa"/>
            <w:shd w:val="clear" w:color="auto" w:fill="FFFFFF"/>
            <w:vAlign w:val="center"/>
          </w:tcPr>
          <w:p w:rsidR="0081272D" w:rsidRPr="009F5CF2" w:rsidRDefault="0081272D" w:rsidP="00AC7D42">
            <w:pPr>
              <w:spacing w:before="100" w:beforeAutospacing="1" w:after="100" w:afterAutospacing="1"/>
              <w:rPr>
                <w:rFonts w:ascii="Times New Roman" w:hAnsi="Times New Roman"/>
                <w:color w:val="1A1919"/>
                <w:sz w:val="22"/>
                <w:szCs w:val="22"/>
              </w:rPr>
            </w:pPr>
            <w:r>
              <w:rPr>
                <w:rFonts w:ascii="Times New Roman" w:hAnsi="Times New Roman"/>
                <w:color w:val="1A1919"/>
                <w:sz w:val="22"/>
                <w:szCs w:val="22"/>
              </w:rPr>
              <w:t>15 Points each</w:t>
            </w:r>
          </w:p>
        </w:tc>
        <w:tc>
          <w:tcPr>
            <w:tcW w:w="1115" w:type="dxa"/>
            <w:shd w:val="clear" w:color="auto" w:fill="FFFFFF"/>
            <w:tcMar>
              <w:top w:w="90" w:type="dxa"/>
              <w:left w:w="90" w:type="dxa"/>
              <w:bottom w:w="90" w:type="dxa"/>
              <w:right w:w="90" w:type="dxa"/>
            </w:tcMar>
            <w:vAlign w:val="center"/>
            <w:hideMark/>
          </w:tcPr>
          <w:p w:rsidR="0081272D" w:rsidRPr="009F5CF2" w:rsidRDefault="0081272D" w:rsidP="00AC7D42">
            <w:pPr>
              <w:spacing w:before="100" w:beforeAutospacing="1" w:after="100" w:afterAutospacing="1"/>
              <w:jc w:val="right"/>
              <w:rPr>
                <w:rFonts w:ascii="Times New Roman" w:hAnsi="Times New Roman"/>
                <w:color w:val="1A1919"/>
                <w:sz w:val="22"/>
                <w:szCs w:val="22"/>
              </w:rPr>
            </w:pPr>
            <w:r w:rsidRPr="009F5CF2">
              <w:rPr>
                <w:rFonts w:ascii="Times New Roman" w:hAnsi="Times New Roman"/>
                <w:color w:val="1A1919"/>
                <w:sz w:val="22"/>
                <w:szCs w:val="22"/>
              </w:rPr>
              <w:t>10%</w:t>
            </w:r>
          </w:p>
        </w:tc>
        <w:tc>
          <w:tcPr>
            <w:tcW w:w="3960" w:type="dxa"/>
            <w:shd w:val="clear" w:color="auto" w:fill="FFFFFF"/>
            <w:vAlign w:val="center"/>
          </w:tcPr>
          <w:p w:rsidR="0081272D" w:rsidRPr="009F5CF2" w:rsidRDefault="0081272D" w:rsidP="00AC7D42">
            <w:pPr>
              <w:spacing w:before="100" w:beforeAutospacing="1" w:after="100" w:afterAutospacing="1"/>
              <w:rPr>
                <w:rFonts w:ascii="Times New Roman" w:hAnsi="Times New Roman"/>
                <w:color w:val="1A1919"/>
                <w:sz w:val="22"/>
                <w:szCs w:val="22"/>
              </w:rPr>
            </w:pPr>
          </w:p>
        </w:tc>
      </w:tr>
      <w:tr w:rsidR="0081272D" w:rsidRPr="009F5CF2" w:rsidTr="00AC7D42">
        <w:trPr>
          <w:trHeight w:val="19"/>
        </w:trPr>
        <w:tc>
          <w:tcPr>
            <w:tcW w:w="2484" w:type="dxa"/>
            <w:shd w:val="clear" w:color="auto" w:fill="FFFFFF"/>
            <w:tcMar>
              <w:top w:w="90" w:type="dxa"/>
              <w:left w:w="90" w:type="dxa"/>
              <w:bottom w:w="90" w:type="dxa"/>
              <w:right w:w="90" w:type="dxa"/>
            </w:tcMar>
            <w:vAlign w:val="center"/>
            <w:hideMark/>
          </w:tcPr>
          <w:p w:rsidR="0081272D" w:rsidRPr="009F5CF2" w:rsidRDefault="0081272D" w:rsidP="00AC7D42">
            <w:pPr>
              <w:spacing w:before="100" w:beforeAutospacing="1" w:after="100" w:afterAutospacing="1"/>
              <w:rPr>
                <w:rFonts w:ascii="Times New Roman" w:hAnsi="Times New Roman"/>
                <w:bCs/>
                <w:color w:val="1A1919"/>
                <w:sz w:val="22"/>
                <w:szCs w:val="22"/>
              </w:rPr>
            </w:pPr>
            <w:r w:rsidRPr="009F5CF2">
              <w:rPr>
                <w:rFonts w:ascii="Times New Roman" w:hAnsi="Times New Roman"/>
                <w:bCs/>
                <w:color w:val="1A1919"/>
                <w:sz w:val="22"/>
                <w:szCs w:val="22"/>
              </w:rPr>
              <w:t>Independent Assignment</w:t>
            </w:r>
          </w:p>
        </w:tc>
        <w:tc>
          <w:tcPr>
            <w:tcW w:w="1436" w:type="dxa"/>
            <w:shd w:val="clear" w:color="auto" w:fill="FFFFFF"/>
            <w:vAlign w:val="center"/>
          </w:tcPr>
          <w:p w:rsidR="0081272D" w:rsidRPr="009F5CF2" w:rsidRDefault="0081272D" w:rsidP="00AC7D42">
            <w:pPr>
              <w:spacing w:before="100" w:beforeAutospacing="1" w:after="100" w:afterAutospacing="1"/>
              <w:rPr>
                <w:rFonts w:ascii="Times New Roman" w:hAnsi="Times New Roman"/>
                <w:color w:val="1A1919"/>
                <w:sz w:val="22"/>
                <w:szCs w:val="22"/>
              </w:rPr>
            </w:pPr>
            <w:r>
              <w:rPr>
                <w:rFonts w:ascii="Times New Roman" w:hAnsi="Times New Roman"/>
                <w:color w:val="1A1919"/>
                <w:sz w:val="22"/>
                <w:szCs w:val="22"/>
              </w:rPr>
              <w:t>15 Points each</w:t>
            </w:r>
          </w:p>
        </w:tc>
        <w:tc>
          <w:tcPr>
            <w:tcW w:w="1115" w:type="dxa"/>
            <w:shd w:val="clear" w:color="auto" w:fill="FFFFFF"/>
            <w:tcMar>
              <w:top w:w="90" w:type="dxa"/>
              <w:left w:w="90" w:type="dxa"/>
              <w:bottom w:w="90" w:type="dxa"/>
              <w:right w:w="90" w:type="dxa"/>
            </w:tcMar>
            <w:vAlign w:val="center"/>
            <w:hideMark/>
          </w:tcPr>
          <w:p w:rsidR="0081272D" w:rsidRPr="009F5CF2" w:rsidRDefault="0081272D" w:rsidP="00AC7D42">
            <w:pPr>
              <w:spacing w:before="100" w:beforeAutospacing="1" w:after="100" w:afterAutospacing="1"/>
              <w:jc w:val="right"/>
              <w:rPr>
                <w:rFonts w:ascii="Times New Roman" w:hAnsi="Times New Roman"/>
                <w:color w:val="1A1919"/>
                <w:sz w:val="22"/>
                <w:szCs w:val="22"/>
              </w:rPr>
            </w:pPr>
            <w:r w:rsidRPr="009F5CF2">
              <w:rPr>
                <w:rFonts w:ascii="Times New Roman" w:hAnsi="Times New Roman"/>
                <w:color w:val="1A1919"/>
                <w:sz w:val="22"/>
                <w:szCs w:val="22"/>
              </w:rPr>
              <w:t>5%</w:t>
            </w:r>
          </w:p>
        </w:tc>
        <w:tc>
          <w:tcPr>
            <w:tcW w:w="3960" w:type="dxa"/>
            <w:shd w:val="clear" w:color="auto" w:fill="FFFFFF"/>
            <w:vAlign w:val="center"/>
          </w:tcPr>
          <w:p w:rsidR="0081272D" w:rsidRPr="009F5CF2" w:rsidRDefault="0081272D" w:rsidP="00AC7D42">
            <w:pPr>
              <w:spacing w:before="100" w:beforeAutospacing="1" w:after="100" w:afterAutospacing="1"/>
              <w:rPr>
                <w:rFonts w:ascii="Times New Roman" w:hAnsi="Times New Roman"/>
                <w:color w:val="1A1919"/>
                <w:sz w:val="22"/>
                <w:szCs w:val="22"/>
              </w:rPr>
            </w:pPr>
          </w:p>
        </w:tc>
      </w:tr>
      <w:tr w:rsidR="0081272D" w:rsidRPr="009F5CF2" w:rsidTr="00AC7D42">
        <w:trPr>
          <w:trHeight w:val="19"/>
        </w:trPr>
        <w:tc>
          <w:tcPr>
            <w:tcW w:w="2484" w:type="dxa"/>
            <w:shd w:val="clear" w:color="auto" w:fill="FFFFFF"/>
            <w:tcMar>
              <w:top w:w="90" w:type="dxa"/>
              <w:left w:w="90" w:type="dxa"/>
              <w:bottom w:w="90" w:type="dxa"/>
              <w:right w:w="90" w:type="dxa"/>
            </w:tcMar>
            <w:vAlign w:val="center"/>
            <w:hideMark/>
          </w:tcPr>
          <w:p w:rsidR="0081272D" w:rsidRPr="009F5CF2" w:rsidRDefault="0081272D" w:rsidP="00AC7D42">
            <w:pPr>
              <w:spacing w:before="100" w:beforeAutospacing="1" w:after="100" w:afterAutospacing="1"/>
              <w:rPr>
                <w:rFonts w:ascii="Times New Roman" w:hAnsi="Times New Roman"/>
                <w:bCs/>
                <w:color w:val="1A1919"/>
                <w:sz w:val="22"/>
                <w:szCs w:val="22"/>
              </w:rPr>
            </w:pPr>
            <w:r w:rsidRPr="009F5CF2">
              <w:rPr>
                <w:rFonts w:ascii="Times New Roman" w:hAnsi="Times New Roman"/>
                <w:bCs/>
                <w:color w:val="1A1919"/>
                <w:sz w:val="22"/>
                <w:szCs w:val="22"/>
              </w:rPr>
              <w:t>Participation</w:t>
            </w:r>
          </w:p>
        </w:tc>
        <w:tc>
          <w:tcPr>
            <w:tcW w:w="1436" w:type="dxa"/>
            <w:shd w:val="clear" w:color="auto" w:fill="FFFFFF"/>
            <w:vAlign w:val="center"/>
          </w:tcPr>
          <w:p w:rsidR="0081272D" w:rsidRPr="009F5CF2" w:rsidRDefault="0081272D" w:rsidP="00AC7D42">
            <w:pPr>
              <w:spacing w:before="100" w:beforeAutospacing="1" w:after="100" w:afterAutospacing="1"/>
              <w:rPr>
                <w:rFonts w:ascii="Times New Roman" w:hAnsi="Times New Roman"/>
                <w:color w:val="1A1919"/>
                <w:sz w:val="22"/>
                <w:szCs w:val="22"/>
              </w:rPr>
            </w:pPr>
            <w:r>
              <w:rPr>
                <w:rFonts w:ascii="Times New Roman" w:hAnsi="Times New Roman"/>
                <w:color w:val="1A1919"/>
                <w:sz w:val="22"/>
                <w:szCs w:val="22"/>
              </w:rPr>
              <w:t>10 Points</w:t>
            </w:r>
          </w:p>
        </w:tc>
        <w:tc>
          <w:tcPr>
            <w:tcW w:w="1115" w:type="dxa"/>
            <w:shd w:val="clear" w:color="auto" w:fill="FFFFFF"/>
            <w:tcMar>
              <w:top w:w="90" w:type="dxa"/>
              <w:left w:w="90" w:type="dxa"/>
              <w:bottom w:w="90" w:type="dxa"/>
              <w:right w:w="90" w:type="dxa"/>
            </w:tcMar>
            <w:vAlign w:val="center"/>
            <w:hideMark/>
          </w:tcPr>
          <w:p w:rsidR="0081272D" w:rsidRPr="009F5CF2" w:rsidRDefault="0081272D" w:rsidP="00AC7D42">
            <w:pPr>
              <w:spacing w:before="100" w:beforeAutospacing="1" w:after="100" w:afterAutospacing="1"/>
              <w:jc w:val="right"/>
              <w:rPr>
                <w:rFonts w:ascii="Times New Roman" w:hAnsi="Times New Roman"/>
                <w:color w:val="1A1919"/>
                <w:sz w:val="22"/>
                <w:szCs w:val="22"/>
              </w:rPr>
            </w:pPr>
            <w:r w:rsidRPr="009F5CF2">
              <w:rPr>
                <w:rFonts w:ascii="Times New Roman" w:hAnsi="Times New Roman"/>
                <w:color w:val="1A1919"/>
                <w:sz w:val="22"/>
                <w:szCs w:val="22"/>
              </w:rPr>
              <w:t>5%</w:t>
            </w:r>
          </w:p>
        </w:tc>
        <w:tc>
          <w:tcPr>
            <w:tcW w:w="3960" w:type="dxa"/>
            <w:shd w:val="clear" w:color="auto" w:fill="FFFFFF"/>
            <w:vAlign w:val="center"/>
          </w:tcPr>
          <w:p w:rsidR="0081272D" w:rsidRPr="009F5CF2" w:rsidRDefault="0081272D" w:rsidP="00AC7D42">
            <w:pPr>
              <w:spacing w:before="100" w:beforeAutospacing="1" w:after="100" w:afterAutospacing="1"/>
              <w:rPr>
                <w:rFonts w:ascii="Times New Roman" w:hAnsi="Times New Roman"/>
                <w:color w:val="1A1919"/>
                <w:sz w:val="22"/>
                <w:szCs w:val="22"/>
              </w:rPr>
            </w:pPr>
          </w:p>
        </w:tc>
      </w:tr>
      <w:tr w:rsidR="0081272D" w:rsidRPr="009F5CF2" w:rsidTr="00AC7D42">
        <w:trPr>
          <w:trHeight w:val="19"/>
        </w:trPr>
        <w:tc>
          <w:tcPr>
            <w:tcW w:w="2484" w:type="dxa"/>
            <w:shd w:val="clear" w:color="auto" w:fill="FFFFFF"/>
            <w:tcMar>
              <w:top w:w="90" w:type="dxa"/>
              <w:left w:w="90" w:type="dxa"/>
              <w:bottom w:w="90" w:type="dxa"/>
              <w:right w:w="90" w:type="dxa"/>
            </w:tcMar>
            <w:vAlign w:val="center"/>
            <w:hideMark/>
          </w:tcPr>
          <w:p w:rsidR="0081272D" w:rsidRPr="009F5CF2" w:rsidRDefault="0081272D" w:rsidP="00AC7D42">
            <w:pPr>
              <w:spacing w:before="100" w:beforeAutospacing="1" w:after="100" w:afterAutospacing="1"/>
              <w:rPr>
                <w:rFonts w:ascii="Times New Roman" w:hAnsi="Times New Roman"/>
                <w:b/>
                <w:bCs/>
                <w:color w:val="1A1919"/>
                <w:sz w:val="22"/>
                <w:szCs w:val="22"/>
              </w:rPr>
            </w:pPr>
            <w:r w:rsidRPr="009F5CF2">
              <w:rPr>
                <w:rFonts w:ascii="Times New Roman" w:hAnsi="Times New Roman"/>
                <w:b/>
                <w:bCs/>
                <w:color w:val="1A1919"/>
                <w:sz w:val="22"/>
                <w:szCs w:val="22"/>
              </w:rPr>
              <w:t>Total</w:t>
            </w:r>
          </w:p>
        </w:tc>
        <w:tc>
          <w:tcPr>
            <w:tcW w:w="1436" w:type="dxa"/>
            <w:shd w:val="clear" w:color="auto" w:fill="FFFFFF"/>
            <w:vAlign w:val="center"/>
          </w:tcPr>
          <w:p w:rsidR="0081272D" w:rsidRPr="009F5CF2" w:rsidRDefault="0081272D" w:rsidP="00AC7D42">
            <w:pPr>
              <w:spacing w:before="100" w:beforeAutospacing="1" w:after="100" w:afterAutospacing="1"/>
              <w:rPr>
                <w:rFonts w:ascii="Times New Roman" w:hAnsi="Times New Roman"/>
                <w:b/>
                <w:bCs/>
                <w:color w:val="1A1919"/>
                <w:sz w:val="22"/>
                <w:szCs w:val="22"/>
              </w:rPr>
            </w:pPr>
          </w:p>
        </w:tc>
        <w:tc>
          <w:tcPr>
            <w:tcW w:w="1115" w:type="dxa"/>
            <w:shd w:val="clear" w:color="auto" w:fill="FFFFFF"/>
            <w:tcMar>
              <w:top w:w="90" w:type="dxa"/>
              <w:left w:w="90" w:type="dxa"/>
              <w:bottom w:w="90" w:type="dxa"/>
              <w:right w:w="90" w:type="dxa"/>
            </w:tcMar>
            <w:vAlign w:val="center"/>
            <w:hideMark/>
          </w:tcPr>
          <w:p w:rsidR="0081272D" w:rsidRPr="009F5CF2" w:rsidRDefault="0081272D" w:rsidP="00AC7D42">
            <w:pPr>
              <w:spacing w:before="100" w:beforeAutospacing="1" w:after="100" w:afterAutospacing="1"/>
              <w:jc w:val="right"/>
              <w:rPr>
                <w:rFonts w:ascii="Times New Roman" w:hAnsi="Times New Roman"/>
                <w:b/>
                <w:bCs/>
                <w:color w:val="1A1919"/>
                <w:sz w:val="22"/>
                <w:szCs w:val="22"/>
              </w:rPr>
            </w:pPr>
            <w:r w:rsidRPr="009F5CF2">
              <w:rPr>
                <w:rFonts w:ascii="Times New Roman" w:hAnsi="Times New Roman"/>
                <w:b/>
                <w:bCs/>
                <w:color w:val="1A1919"/>
                <w:sz w:val="22"/>
                <w:szCs w:val="22"/>
              </w:rPr>
              <w:t>100%</w:t>
            </w:r>
          </w:p>
        </w:tc>
        <w:tc>
          <w:tcPr>
            <w:tcW w:w="3960" w:type="dxa"/>
            <w:shd w:val="clear" w:color="auto" w:fill="FFFFFF"/>
            <w:vAlign w:val="center"/>
          </w:tcPr>
          <w:p w:rsidR="0081272D" w:rsidRPr="009F5CF2" w:rsidRDefault="0081272D" w:rsidP="00AC7D42">
            <w:pPr>
              <w:spacing w:before="100" w:beforeAutospacing="1" w:after="100" w:afterAutospacing="1"/>
              <w:rPr>
                <w:rFonts w:ascii="Times New Roman" w:hAnsi="Times New Roman"/>
                <w:b/>
                <w:bCs/>
                <w:color w:val="1A1919"/>
                <w:sz w:val="22"/>
                <w:szCs w:val="22"/>
              </w:rPr>
            </w:pPr>
          </w:p>
        </w:tc>
      </w:tr>
    </w:tbl>
    <w:p w:rsidR="00AC7D42" w:rsidRDefault="00AC7D42" w:rsidP="00AC7D42">
      <w:pPr>
        <w:widowControl/>
        <w:ind w:left="90"/>
        <w:rPr>
          <w:rFonts w:ascii="Times New Roman" w:hAnsi="Times New Roman"/>
          <w:b/>
          <w:bCs/>
          <w:snapToGrid/>
          <w:color w:val="1A1919"/>
          <w:sz w:val="22"/>
          <w:szCs w:val="22"/>
        </w:rPr>
      </w:pPr>
    </w:p>
    <w:p w:rsidR="00A4173F" w:rsidRPr="009F5CF2" w:rsidRDefault="00A4173F" w:rsidP="00AC7D42">
      <w:pPr>
        <w:widowControl/>
        <w:ind w:left="90"/>
        <w:rPr>
          <w:rFonts w:ascii="Times New Roman" w:hAnsi="Times New Roman"/>
          <w:snapToGrid/>
          <w:color w:val="1A1919"/>
          <w:sz w:val="22"/>
          <w:szCs w:val="22"/>
        </w:rPr>
      </w:pPr>
      <w:r w:rsidRPr="009F5CF2">
        <w:rPr>
          <w:rFonts w:ascii="Times New Roman" w:hAnsi="Times New Roman"/>
          <w:b/>
          <w:bCs/>
          <w:snapToGrid/>
          <w:color w:val="1A1919"/>
          <w:sz w:val="22"/>
          <w:szCs w:val="22"/>
        </w:rPr>
        <w:t>Late Submission: </w:t>
      </w:r>
    </w:p>
    <w:p w:rsidR="00A4173F" w:rsidRPr="009F5CF2" w:rsidRDefault="00A4173F" w:rsidP="00AC7D42">
      <w:pPr>
        <w:widowControl/>
        <w:numPr>
          <w:ilvl w:val="0"/>
          <w:numId w:val="17"/>
        </w:numPr>
        <w:tabs>
          <w:tab w:val="clear" w:pos="720"/>
          <w:tab w:val="num" w:pos="810"/>
        </w:tabs>
        <w:ind w:left="465"/>
        <w:rPr>
          <w:rFonts w:ascii="Times New Roman" w:hAnsi="Times New Roman"/>
          <w:snapToGrid/>
          <w:color w:val="1A1919"/>
          <w:sz w:val="22"/>
          <w:szCs w:val="22"/>
        </w:rPr>
      </w:pPr>
      <w:r w:rsidRPr="009F5CF2">
        <w:rPr>
          <w:rFonts w:ascii="Times New Roman" w:hAnsi="Times New Roman"/>
          <w:snapToGrid/>
          <w:color w:val="1A1919"/>
          <w:sz w:val="22"/>
          <w:szCs w:val="22"/>
        </w:rPr>
        <w:t>Coursework received any time within two weeks of the due date will be graded, but a penalty will apply. </w:t>
      </w:r>
    </w:p>
    <w:p w:rsidR="00A4173F" w:rsidRPr="009F5CF2" w:rsidRDefault="00A4173F" w:rsidP="00AC7D42">
      <w:pPr>
        <w:widowControl/>
        <w:numPr>
          <w:ilvl w:val="1"/>
          <w:numId w:val="17"/>
        </w:numPr>
        <w:tabs>
          <w:tab w:val="clear" w:pos="1440"/>
          <w:tab w:val="num" w:pos="1530"/>
        </w:tabs>
        <w:ind w:left="840"/>
        <w:rPr>
          <w:rFonts w:ascii="Times New Roman" w:hAnsi="Times New Roman"/>
          <w:snapToGrid/>
          <w:color w:val="1A1919"/>
          <w:sz w:val="22"/>
          <w:szCs w:val="22"/>
        </w:rPr>
      </w:pPr>
      <w:r w:rsidRPr="009F5CF2">
        <w:rPr>
          <w:rFonts w:ascii="Times New Roman" w:hAnsi="Times New Roman"/>
          <w:snapToGrid/>
          <w:color w:val="1A1919"/>
          <w:sz w:val="22"/>
          <w:szCs w:val="22"/>
        </w:rPr>
        <w:t>Coursework submitted at any time up to one week after the due date will have the grade awarded reduced by 10%</w:t>
      </w:r>
    </w:p>
    <w:p w:rsidR="00A4173F" w:rsidRPr="009F5CF2" w:rsidRDefault="00A4173F" w:rsidP="00AC7D42">
      <w:pPr>
        <w:widowControl/>
        <w:numPr>
          <w:ilvl w:val="1"/>
          <w:numId w:val="17"/>
        </w:numPr>
        <w:tabs>
          <w:tab w:val="clear" w:pos="1440"/>
          <w:tab w:val="num" w:pos="1530"/>
        </w:tabs>
        <w:ind w:left="840"/>
        <w:rPr>
          <w:rFonts w:ascii="Times New Roman" w:hAnsi="Times New Roman"/>
          <w:snapToGrid/>
          <w:color w:val="1A1919"/>
          <w:sz w:val="22"/>
          <w:szCs w:val="22"/>
        </w:rPr>
      </w:pPr>
      <w:r w:rsidRPr="009F5CF2">
        <w:rPr>
          <w:rFonts w:ascii="Times New Roman" w:hAnsi="Times New Roman"/>
          <w:snapToGrid/>
          <w:color w:val="1A1919"/>
          <w:sz w:val="22"/>
          <w:szCs w:val="22"/>
        </w:rPr>
        <w:t>Coursework submitted more than one week but up to two weeks after the due date will have the grade reduced by 20%</w:t>
      </w:r>
    </w:p>
    <w:p w:rsidR="00A4173F" w:rsidRPr="009F5CF2" w:rsidRDefault="00A4173F" w:rsidP="00AC7D42">
      <w:pPr>
        <w:widowControl/>
        <w:numPr>
          <w:ilvl w:val="0"/>
          <w:numId w:val="17"/>
        </w:numPr>
        <w:tabs>
          <w:tab w:val="clear" w:pos="720"/>
          <w:tab w:val="num" w:pos="810"/>
        </w:tabs>
        <w:ind w:left="465"/>
        <w:rPr>
          <w:rFonts w:ascii="Times New Roman" w:hAnsi="Times New Roman"/>
          <w:snapToGrid/>
          <w:color w:val="1A1919"/>
          <w:sz w:val="22"/>
          <w:szCs w:val="22"/>
        </w:rPr>
      </w:pPr>
      <w:r w:rsidRPr="009F5CF2">
        <w:rPr>
          <w:rFonts w:ascii="Times New Roman" w:hAnsi="Times New Roman"/>
          <w:snapToGrid/>
          <w:color w:val="1A1919"/>
          <w:sz w:val="22"/>
          <w:szCs w:val="22"/>
        </w:rPr>
        <w:t>Coursework submitted after 2 weeks will not be graded</w:t>
      </w:r>
    </w:p>
    <w:p w:rsidR="005A51F6" w:rsidRPr="009F5CF2" w:rsidRDefault="005A51F6" w:rsidP="005A51F6">
      <w:pPr>
        <w:autoSpaceDE w:val="0"/>
        <w:autoSpaceDN w:val="0"/>
        <w:adjustRightInd w:val="0"/>
        <w:jc w:val="both"/>
        <w:rPr>
          <w:rFonts w:ascii="Times New Roman" w:eastAsia="SymbolMT" w:hAnsi="Times New Roman"/>
          <w:i/>
          <w:iCs/>
          <w:color w:val="000000"/>
          <w:sz w:val="22"/>
          <w:szCs w:val="22"/>
        </w:rPr>
      </w:pPr>
      <w:r w:rsidRPr="009F5CF2">
        <w:rPr>
          <w:rFonts w:ascii="Times New Roman" w:eastAsia="SymbolMT" w:hAnsi="Times New Roman"/>
          <w:b/>
          <w:color w:val="000000"/>
          <w:sz w:val="22"/>
          <w:szCs w:val="22"/>
          <w:u w:val="single"/>
        </w:rPr>
        <w:lastRenderedPageBreak/>
        <w:t>Religious holidays (from the online Academic Calendar):</w:t>
      </w:r>
      <w:r w:rsidRPr="009F5CF2">
        <w:rPr>
          <w:rFonts w:ascii="Times New Roman" w:eastAsia="SymbolMT" w:hAnsi="Times New Roman"/>
          <w:color w:val="000000"/>
          <w:sz w:val="22"/>
          <w:szCs w:val="22"/>
        </w:rPr>
        <w:t xml:space="preserve"> </w:t>
      </w:r>
      <w:r w:rsidRPr="009F5CF2">
        <w:rPr>
          <w:rFonts w:ascii="Times New Roman" w:eastAsia="SymbolMT" w:hAnsi="Times New Roman"/>
          <w:i/>
          <w:iCs/>
          <w:color w:val="000000"/>
          <w:sz w:val="22"/>
          <w:szCs w:val="22"/>
        </w:rPr>
        <w:t>Because of the extraordinary variety of religious affiliations of the University student body and staff, the Academic Calendar makes no provisions for religious holidays. However, it is University policy to respect the faith and religious obligations of the individual. Students with classes or examinations that conflict with their religious observances are expected to notify their instructors well in advance so that mutually agreeable alternatives may be worked out.</w:t>
      </w:r>
    </w:p>
    <w:p w:rsidR="00876082" w:rsidRPr="009F5CF2" w:rsidRDefault="00876082" w:rsidP="005A51F6">
      <w:pPr>
        <w:autoSpaceDE w:val="0"/>
        <w:autoSpaceDN w:val="0"/>
        <w:adjustRightInd w:val="0"/>
        <w:jc w:val="both"/>
        <w:rPr>
          <w:rFonts w:ascii="Times New Roman" w:eastAsia="SymbolMT" w:hAnsi="Times New Roman"/>
          <w:b/>
          <w:color w:val="000000"/>
          <w:sz w:val="22"/>
          <w:szCs w:val="22"/>
          <w:u w:val="single"/>
        </w:rPr>
      </w:pPr>
    </w:p>
    <w:p w:rsidR="005A51F6" w:rsidRPr="009F5CF2" w:rsidRDefault="005A51F6" w:rsidP="005A51F6">
      <w:pPr>
        <w:autoSpaceDE w:val="0"/>
        <w:autoSpaceDN w:val="0"/>
        <w:adjustRightInd w:val="0"/>
        <w:jc w:val="both"/>
        <w:rPr>
          <w:rFonts w:ascii="Times New Roman" w:eastAsia="SymbolMT" w:hAnsi="Times New Roman"/>
          <w:color w:val="000000"/>
          <w:sz w:val="22"/>
          <w:szCs w:val="22"/>
        </w:rPr>
      </w:pPr>
      <w:r w:rsidRPr="009F5CF2">
        <w:rPr>
          <w:rFonts w:ascii="Times New Roman" w:eastAsia="SymbolMT" w:hAnsi="Times New Roman"/>
          <w:b/>
          <w:color w:val="000000"/>
          <w:sz w:val="22"/>
          <w:szCs w:val="22"/>
          <w:u w:val="single"/>
        </w:rPr>
        <w:t>Student Disabilities Services</w:t>
      </w:r>
    </w:p>
    <w:p w:rsidR="005A51F6" w:rsidRPr="009F5CF2" w:rsidRDefault="005A51F6" w:rsidP="005A51F6">
      <w:pPr>
        <w:autoSpaceDE w:val="0"/>
        <w:autoSpaceDN w:val="0"/>
        <w:adjustRightInd w:val="0"/>
        <w:ind w:firstLine="360"/>
        <w:jc w:val="both"/>
        <w:rPr>
          <w:rFonts w:ascii="Times New Roman" w:eastAsia="SymbolMT" w:hAnsi="Times New Roman"/>
          <w:i/>
          <w:iCs/>
          <w:color w:val="000000"/>
          <w:sz w:val="22"/>
          <w:szCs w:val="22"/>
        </w:rPr>
      </w:pPr>
      <w:r w:rsidRPr="009F5CF2">
        <w:rPr>
          <w:rFonts w:ascii="Times New Roman" w:eastAsia="SymbolMT" w:hAnsi="Times New Roman"/>
          <w:color w:val="000000"/>
          <w:sz w:val="22"/>
          <w:szCs w:val="22"/>
          <w:u w:val="single"/>
        </w:rPr>
        <w:t>(Edited statement from the SDS web site):</w:t>
      </w:r>
      <w:r w:rsidRPr="009F5CF2">
        <w:rPr>
          <w:rFonts w:ascii="Times New Roman" w:eastAsia="SymbolMT" w:hAnsi="Times New Roman"/>
          <w:color w:val="000000"/>
          <w:sz w:val="22"/>
          <w:szCs w:val="22"/>
        </w:rPr>
        <w:t xml:space="preserve"> </w:t>
      </w:r>
      <w:r w:rsidRPr="009F5CF2">
        <w:rPr>
          <w:rFonts w:ascii="Times New Roman" w:eastAsia="SymbolMT" w:hAnsi="Times New Roman"/>
          <w:i/>
          <w:iCs/>
          <w:color w:val="000000"/>
          <w:sz w:val="22"/>
          <w:szCs w:val="22"/>
        </w:rPr>
        <w:t xml:space="preserve">If you have a documented disability that requires accommodations, you will need to register with Student Disability Services for coordination of your academic accommodations. The Student Disability Services (SDS) office is located in the </w:t>
      </w:r>
      <w:proofErr w:type="spellStart"/>
      <w:r w:rsidRPr="009F5CF2">
        <w:rPr>
          <w:rFonts w:ascii="Times New Roman" w:eastAsia="SymbolMT" w:hAnsi="Times New Roman"/>
          <w:i/>
          <w:iCs/>
          <w:color w:val="000000"/>
          <w:sz w:val="22"/>
          <w:szCs w:val="22"/>
        </w:rPr>
        <w:t>Adamany</w:t>
      </w:r>
      <w:proofErr w:type="spellEnd"/>
      <w:r w:rsidRPr="009F5CF2">
        <w:rPr>
          <w:rFonts w:ascii="Times New Roman" w:eastAsia="SymbolMT" w:hAnsi="Times New Roman"/>
          <w:i/>
          <w:iCs/>
          <w:color w:val="000000"/>
          <w:sz w:val="22"/>
          <w:szCs w:val="22"/>
        </w:rPr>
        <w:t xml:space="preserve"> Undergraduate Library. The SDS telephone number is 313-577-1851 or 313-202-4216 (Videophone use only). Once your accommodation is in place, someone can meet with you privately to discuss your special needs. Student Disability Services' mission is to assist the university in creating an accessible community where students with disabilities have an equal opportunity to fully participate in their educational experience at Wayne State University.</w:t>
      </w:r>
    </w:p>
    <w:p w:rsidR="005A51F6" w:rsidRPr="009F5CF2" w:rsidRDefault="005A51F6" w:rsidP="005A51F6">
      <w:pPr>
        <w:autoSpaceDE w:val="0"/>
        <w:autoSpaceDN w:val="0"/>
        <w:adjustRightInd w:val="0"/>
        <w:ind w:firstLine="360"/>
        <w:jc w:val="both"/>
        <w:rPr>
          <w:rFonts w:ascii="Times New Roman" w:eastAsia="SymbolMT" w:hAnsi="Times New Roman"/>
          <w:i/>
          <w:iCs/>
          <w:color w:val="000000"/>
          <w:sz w:val="22"/>
          <w:szCs w:val="22"/>
        </w:rPr>
      </w:pPr>
      <w:r w:rsidRPr="009F5CF2">
        <w:rPr>
          <w:rFonts w:ascii="Times New Roman" w:eastAsia="SymbolMT" w:hAnsi="Times New Roman"/>
          <w:i/>
          <w:iCs/>
          <w:color w:val="000000"/>
          <w:sz w:val="22"/>
          <w:szCs w:val="22"/>
        </w:rPr>
        <w:t>Students who are registered with Student Disability Services and who are eligible for alternate testing accommodations such as extended test time and/or a distraction-reduced environment should present the required test permit to the professor at least one week in advance of the exam. Federal law requires that a student registered with SDS is entitled to the reasonable accommodations specified in the student’s accommodation letter, which might include allowing the student to take the final exam on a day different than the rest of the class.</w:t>
      </w:r>
    </w:p>
    <w:p w:rsidR="00876082" w:rsidRPr="009F5CF2" w:rsidRDefault="00876082" w:rsidP="005A51F6">
      <w:pPr>
        <w:autoSpaceDE w:val="0"/>
        <w:autoSpaceDN w:val="0"/>
        <w:adjustRightInd w:val="0"/>
        <w:jc w:val="both"/>
        <w:rPr>
          <w:rFonts w:ascii="Times New Roman" w:eastAsia="SymbolMT" w:hAnsi="Times New Roman"/>
          <w:b/>
          <w:color w:val="000000"/>
          <w:sz w:val="22"/>
          <w:szCs w:val="22"/>
          <w:u w:val="single"/>
        </w:rPr>
      </w:pPr>
    </w:p>
    <w:p w:rsidR="005A51F6" w:rsidRPr="009F5CF2" w:rsidRDefault="005A51F6" w:rsidP="005A51F6">
      <w:pPr>
        <w:autoSpaceDE w:val="0"/>
        <w:autoSpaceDN w:val="0"/>
        <w:adjustRightInd w:val="0"/>
        <w:jc w:val="both"/>
        <w:rPr>
          <w:rFonts w:ascii="Times New Roman" w:eastAsia="SymbolMT" w:hAnsi="Times New Roman"/>
          <w:b/>
          <w:color w:val="000000"/>
          <w:sz w:val="22"/>
          <w:szCs w:val="22"/>
          <w:u w:val="single"/>
        </w:rPr>
      </w:pPr>
      <w:r w:rsidRPr="009F5CF2">
        <w:rPr>
          <w:rFonts w:ascii="Times New Roman" w:eastAsia="SymbolMT" w:hAnsi="Times New Roman"/>
          <w:b/>
          <w:color w:val="000000"/>
          <w:sz w:val="22"/>
          <w:szCs w:val="22"/>
          <w:u w:val="single"/>
        </w:rPr>
        <w:t>Academic Dishonesty -- Plagiarism and Cheating (edited statement from the DOSO’s web site):</w:t>
      </w:r>
      <w:r w:rsidRPr="009F5CF2">
        <w:rPr>
          <w:rFonts w:ascii="Times New Roman" w:eastAsia="SymbolMT" w:hAnsi="Times New Roman"/>
          <w:color w:val="000000"/>
          <w:sz w:val="22"/>
          <w:szCs w:val="22"/>
        </w:rPr>
        <w:t xml:space="preserve"> </w:t>
      </w:r>
    </w:p>
    <w:p w:rsidR="005A51F6" w:rsidRPr="009F5CF2" w:rsidRDefault="005A51F6" w:rsidP="005A51F6">
      <w:pPr>
        <w:autoSpaceDE w:val="0"/>
        <w:autoSpaceDN w:val="0"/>
        <w:adjustRightInd w:val="0"/>
        <w:jc w:val="both"/>
        <w:rPr>
          <w:rFonts w:ascii="Times New Roman" w:eastAsia="SymbolMT" w:hAnsi="Times New Roman"/>
          <w:i/>
          <w:iCs/>
          <w:color w:val="000000"/>
          <w:sz w:val="22"/>
          <w:szCs w:val="22"/>
        </w:rPr>
      </w:pPr>
      <w:r w:rsidRPr="009F5CF2">
        <w:rPr>
          <w:rFonts w:ascii="Times New Roman" w:eastAsia="SymbolMT" w:hAnsi="Times New Roman"/>
          <w:i/>
          <w:iCs/>
          <w:color w:val="000000"/>
          <w:sz w:val="22"/>
          <w:szCs w:val="22"/>
        </w:rPr>
        <w:t xml:space="preserve">Academic misbehavior means any activity that tends to compromise the academic integrity of the institution or subvert the education process. All forms of academic misbehavior are prohibited at Wayne State University, as outlined in the Student Code of Conduct </w:t>
      </w:r>
      <w:r w:rsidRPr="009F5CF2">
        <w:rPr>
          <w:rFonts w:ascii="Times New Roman" w:eastAsia="SymbolMT" w:hAnsi="Times New Roman"/>
          <w:color w:val="000000"/>
          <w:sz w:val="22"/>
          <w:szCs w:val="22"/>
        </w:rPr>
        <w:t>(</w:t>
      </w:r>
      <w:hyperlink r:id="rId7" w:history="1">
        <w:r w:rsidRPr="009F5CF2">
          <w:rPr>
            <w:rStyle w:val="Hyperlink"/>
            <w:rFonts w:ascii="Times New Roman" w:eastAsia="SymbolMT" w:hAnsi="Times New Roman"/>
            <w:i/>
            <w:iCs/>
            <w:sz w:val="22"/>
            <w:szCs w:val="22"/>
          </w:rPr>
          <w:t>http://www.doso.wayne.edu/student-conduct-services.html</w:t>
        </w:r>
      </w:hyperlink>
      <w:r w:rsidRPr="009F5CF2">
        <w:rPr>
          <w:rFonts w:ascii="Times New Roman" w:eastAsia="SymbolMT" w:hAnsi="Times New Roman"/>
          <w:color w:val="000000"/>
          <w:sz w:val="22"/>
          <w:szCs w:val="22"/>
        </w:rPr>
        <w:t xml:space="preserve">). </w:t>
      </w:r>
      <w:r w:rsidRPr="009F5CF2">
        <w:rPr>
          <w:rFonts w:ascii="Times New Roman" w:eastAsia="SymbolMT" w:hAnsi="Times New Roman"/>
          <w:i/>
          <w:iCs/>
          <w:color w:val="000000"/>
          <w:sz w:val="22"/>
          <w:szCs w:val="22"/>
        </w:rPr>
        <w:t>Students who commit or assist in committing dishonest acts are subject to downgrading (to a failing grade for the test, paper, or other course-related activity in question, or for the entire course) and/or additional sanctions as described in the Student Code of Conduct.</w:t>
      </w:r>
    </w:p>
    <w:p w:rsidR="005A51F6" w:rsidRPr="009F5CF2" w:rsidRDefault="005A51F6" w:rsidP="005A51F6">
      <w:pPr>
        <w:autoSpaceDE w:val="0"/>
        <w:autoSpaceDN w:val="0"/>
        <w:adjustRightInd w:val="0"/>
        <w:ind w:firstLine="360"/>
        <w:jc w:val="both"/>
        <w:rPr>
          <w:rFonts w:ascii="Times New Roman" w:eastAsia="SymbolMT" w:hAnsi="Times New Roman"/>
          <w:i/>
          <w:iCs/>
          <w:color w:val="000000"/>
          <w:sz w:val="22"/>
          <w:szCs w:val="22"/>
        </w:rPr>
      </w:pPr>
      <w:r w:rsidRPr="009F5CF2">
        <w:rPr>
          <w:rFonts w:ascii="Times New Roman" w:eastAsia="SymbolMT" w:hAnsi="Times New Roman"/>
          <w:i/>
          <w:iCs/>
          <w:color w:val="000000"/>
          <w:sz w:val="22"/>
          <w:szCs w:val="22"/>
          <w:u w:val="single"/>
        </w:rPr>
        <w:t>Cheating:</w:t>
      </w:r>
      <w:r w:rsidRPr="009F5CF2">
        <w:rPr>
          <w:rFonts w:ascii="Times New Roman" w:eastAsia="SymbolMT" w:hAnsi="Times New Roman"/>
          <w:i/>
          <w:iCs/>
          <w:color w:val="000000"/>
          <w:sz w:val="22"/>
          <w:szCs w:val="22"/>
        </w:rPr>
        <w:t xml:space="preserve"> Intentionally using or attempting to use, or intentionally providing or attempting to provide, unauthorized materials, information or assistance in any academic exercise. Examples include: (a) copying from another student’s test paper; (b) allowing another student to copy from a test paper; (c) using unauthorized material such as a "cheat sheet" during an exam.</w:t>
      </w:r>
    </w:p>
    <w:p w:rsidR="005A51F6" w:rsidRPr="009F5CF2" w:rsidRDefault="005A51F6" w:rsidP="005A51F6">
      <w:pPr>
        <w:autoSpaceDE w:val="0"/>
        <w:autoSpaceDN w:val="0"/>
        <w:adjustRightInd w:val="0"/>
        <w:ind w:firstLine="360"/>
        <w:jc w:val="both"/>
        <w:rPr>
          <w:rFonts w:ascii="Times New Roman" w:eastAsia="SymbolMT" w:hAnsi="Times New Roman"/>
          <w:i/>
          <w:iCs/>
          <w:color w:val="000000"/>
          <w:sz w:val="22"/>
          <w:szCs w:val="22"/>
        </w:rPr>
      </w:pPr>
      <w:r w:rsidRPr="009F5CF2">
        <w:rPr>
          <w:rFonts w:ascii="Times New Roman" w:eastAsia="SymbolMT" w:hAnsi="Times New Roman"/>
          <w:i/>
          <w:iCs/>
          <w:color w:val="000000"/>
          <w:sz w:val="22"/>
          <w:szCs w:val="22"/>
          <w:u w:val="single"/>
        </w:rPr>
        <w:t>Fabrication:</w:t>
      </w:r>
      <w:r w:rsidRPr="009F5CF2">
        <w:rPr>
          <w:rFonts w:ascii="Times New Roman" w:eastAsia="SymbolMT" w:hAnsi="Times New Roman"/>
          <w:i/>
          <w:iCs/>
          <w:color w:val="000000"/>
          <w:sz w:val="22"/>
          <w:szCs w:val="22"/>
        </w:rPr>
        <w:t xml:space="preserve"> Intentional and unauthorized falsification of any information or citation. Examples include: (a) citation of information not taken from the source indicated; (b) listing sources in a bibliography not used in a research paper.</w:t>
      </w:r>
    </w:p>
    <w:p w:rsidR="005A51F6" w:rsidRPr="009F5CF2" w:rsidRDefault="005A51F6" w:rsidP="005A51F6">
      <w:pPr>
        <w:autoSpaceDE w:val="0"/>
        <w:autoSpaceDN w:val="0"/>
        <w:adjustRightInd w:val="0"/>
        <w:ind w:firstLine="360"/>
        <w:jc w:val="both"/>
        <w:rPr>
          <w:rFonts w:ascii="Times New Roman" w:eastAsia="SymbolMT" w:hAnsi="Times New Roman"/>
          <w:i/>
          <w:iCs/>
          <w:color w:val="000000"/>
          <w:sz w:val="22"/>
          <w:szCs w:val="22"/>
        </w:rPr>
      </w:pPr>
      <w:r w:rsidRPr="009F5CF2">
        <w:rPr>
          <w:rFonts w:ascii="Times New Roman" w:eastAsia="SymbolMT" w:hAnsi="Times New Roman"/>
          <w:i/>
          <w:iCs/>
          <w:color w:val="000000"/>
          <w:sz w:val="22"/>
          <w:szCs w:val="22"/>
          <w:u w:val="single"/>
        </w:rPr>
        <w:t>Plagiarism:</w:t>
      </w:r>
      <w:r w:rsidRPr="009F5CF2">
        <w:rPr>
          <w:rFonts w:ascii="Times New Roman" w:eastAsia="SymbolMT" w:hAnsi="Times New Roman"/>
          <w:i/>
          <w:iCs/>
          <w:color w:val="000000"/>
          <w:sz w:val="22"/>
          <w:szCs w:val="22"/>
        </w:rPr>
        <w:t xml:space="preserve"> To take and use another’s words or ideas as one’s own. Examples include: </w:t>
      </w:r>
      <w:r w:rsidRPr="009F5CF2">
        <w:rPr>
          <w:rFonts w:ascii="Times New Roman" w:eastAsia="SymbolMT" w:hAnsi="Times New Roman"/>
          <w:i/>
          <w:iCs/>
          <w:color w:val="000000"/>
          <w:sz w:val="22"/>
          <w:szCs w:val="22"/>
        </w:rPr>
        <w:br/>
        <w:t xml:space="preserve">(a) failure to use appropriate referencing when using the words or ideas of other persons; </w:t>
      </w:r>
      <w:r w:rsidRPr="009F5CF2">
        <w:rPr>
          <w:rFonts w:ascii="Times New Roman" w:eastAsia="SymbolMT" w:hAnsi="Times New Roman"/>
          <w:i/>
          <w:iCs/>
          <w:color w:val="000000"/>
          <w:sz w:val="22"/>
          <w:szCs w:val="22"/>
        </w:rPr>
        <w:br/>
        <w:t>(b) altering the language, paraphrasing, omitting, rearranging, or forming new combinations of words in an attempt to make the thoughts of another appear as your own.</w:t>
      </w:r>
    </w:p>
    <w:p w:rsidR="005A51F6" w:rsidRPr="009F5CF2" w:rsidRDefault="005A51F6" w:rsidP="005A51F6">
      <w:pPr>
        <w:autoSpaceDE w:val="0"/>
        <w:autoSpaceDN w:val="0"/>
        <w:adjustRightInd w:val="0"/>
        <w:ind w:firstLine="360"/>
        <w:jc w:val="both"/>
        <w:rPr>
          <w:rFonts w:ascii="Times New Roman" w:eastAsia="SymbolMT" w:hAnsi="Times New Roman"/>
          <w:i/>
          <w:iCs/>
          <w:color w:val="000000"/>
          <w:sz w:val="22"/>
          <w:szCs w:val="22"/>
        </w:rPr>
      </w:pPr>
      <w:r w:rsidRPr="009F5CF2">
        <w:rPr>
          <w:rFonts w:ascii="Times New Roman" w:eastAsia="SymbolMT" w:hAnsi="Times New Roman"/>
          <w:i/>
          <w:iCs/>
          <w:color w:val="000000"/>
          <w:sz w:val="22"/>
          <w:szCs w:val="22"/>
          <w:u w:val="single"/>
        </w:rPr>
        <w:t>Other forms of academic misbehavior include</w:t>
      </w:r>
      <w:r w:rsidRPr="009F5CF2">
        <w:rPr>
          <w:rFonts w:ascii="Times New Roman" w:eastAsia="SymbolMT" w:hAnsi="Times New Roman"/>
          <w:i/>
          <w:iCs/>
          <w:color w:val="000000"/>
          <w:sz w:val="22"/>
          <w:szCs w:val="22"/>
        </w:rPr>
        <w:t xml:space="preserve">, but are not limited to: (a) unauthorized use of resources, or any attempt to limit another student’s access to educational resources, or any attempt to alter equipment so as to lead to an incorrect answer for subsequent users; </w:t>
      </w:r>
      <w:r w:rsidRPr="009F5CF2">
        <w:rPr>
          <w:rFonts w:ascii="Times New Roman" w:eastAsia="SymbolMT" w:hAnsi="Times New Roman"/>
          <w:i/>
          <w:iCs/>
          <w:color w:val="000000"/>
          <w:sz w:val="22"/>
          <w:szCs w:val="22"/>
        </w:rPr>
        <w:br/>
        <w:t>(b) enlisting the assistance of a substitute in the taking of examinations; (c) violating course rules as defined in the course syllabus or other written information provided to the student; (d) selling, buying or stealing all or part of an un-administered test or answers to the test; (e) changing or altering a grade on a test or other academic grade records.</w:t>
      </w:r>
    </w:p>
    <w:p w:rsidR="005A51F6" w:rsidRPr="009F5CF2" w:rsidRDefault="005A51F6" w:rsidP="005A51F6">
      <w:pPr>
        <w:autoSpaceDE w:val="0"/>
        <w:autoSpaceDN w:val="0"/>
        <w:adjustRightInd w:val="0"/>
        <w:jc w:val="both"/>
        <w:rPr>
          <w:rFonts w:ascii="Times New Roman" w:eastAsia="SymbolMT" w:hAnsi="Times New Roman"/>
          <w:color w:val="000000"/>
          <w:sz w:val="22"/>
          <w:szCs w:val="22"/>
        </w:rPr>
      </w:pPr>
    </w:p>
    <w:p w:rsidR="005A51F6" w:rsidRPr="009F5CF2" w:rsidRDefault="005A51F6" w:rsidP="005A51F6">
      <w:pPr>
        <w:autoSpaceDE w:val="0"/>
        <w:autoSpaceDN w:val="0"/>
        <w:adjustRightInd w:val="0"/>
        <w:jc w:val="both"/>
        <w:rPr>
          <w:rFonts w:ascii="Times New Roman" w:eastAsia="SymbolMT" w:hAnsi="Times New Roman"/>
          <w:i/>
          <w:iCs/>
          <w:color w:val="0000FF"/>
          <w:sz w:val="22"/>
          <w:szCs w:val="22"/>
        </w:rPr>
      </w:pPr>
      <w:r w:rsidRPr="009F5CF2">
        <w:rPr>
          <w:rFonts w:ascii="Times New Roman" w:eastAsia="SymbolMT" w:hAnsi="Times New Roman"/>
          <w:b/>
          <w:color w:val="000000"/>
          <w:sz w:val="22"/>
          <w:szCs w:val="22"/>
          <w:u w:val="single"/>
        </w:rPr>
        <w:t>Course Drops and Withdrawals:</w:t>
      </w:r>
      <w:r w:rsidRPr="009F5CF2">
        <w:rPr>
          <w:rFonts w:ascii="Times New Roman" w:eastAsia="SymbolMT" w:hAnsi="Times New Roman"/>
          <w:color w:val="000000"/>
          <w:sz w:val="22"/>
          <w:szCs w:val="22"/>
        </w:rPr>
        <w:t xml:space="preserve"> </w:t>
      </w:r>
      <w:r w:rsidRPr="009F5CF2">
        <w:rPr>
          <w:rFonts w:ascii="Times New Roman" w:eastAsia="SymbolMT" w:hAnsi="Times New Roman"/>
          <w:i/>
          <w:iCs/>
          <w:color w:val="000000"/>
          <w:sz w:val="22"/>
          <w:szCs w:val="22"/>
        </w:rPr>
        <w:t xml:space="preserve">In the first two weeks of the (full) term, students can drop this class and receive 100% tuition and course fee cancellation. After the end of the second week there is no tuition or fee cancellation. Students who wish to withdraw from the class can initiate a withdrawal request on Pipeline. </w:t>
      </w:r>
      <w:r w:rsidRPr="009F5CF2">
        <w:rPr>
          <w:rFonts w:ascii="Times New Roman" w:eastAsia="SymbolMT" w:hAnsi="Times New Roman"/>
          <w:i/>
          <w:iCs/>
          <w:color w:val="000000"/>
          <w:sz w:val="22"/>
          <w:szCs w:val="22"/>
        </w:rPr>
        <w:lastRenderedPageBreak/>
        <w:t xml:space="preserve">You will receive a transcript notation of WP (passing), WF (failing), or WN (no graded work) at the time of withdrawal. No withdrawals can be initiated after the end of the tenth week. Students enrolled in the 10th week and beyond will receive a grade. Because withdrawing from courses may have negative academic and financial consequences, students considering course withdrawal should make sure they fully understand all the consequences before taking this step. More information on this can be found at: </w:t>
      </w:r>
      <w:r w:rsidRPr="009F5CF2">
        <w:rPr>
          <w:rFonts w:ascii="Times New Roman" w:eastAsia="SymbolMT" w:hAnsi="Times New Roman"/>
          <w:i/>
          <w:iCs/>
          <w:color w:val="0000FF"/>
          <w:sz w:val="22"/>
          <w:szCs w:val="22"/>
        </w:rPr>
        <w:t>http://reg.wayne.edu/pdf-policies/students.pdf</w:t>
      </w:r>
    </w:p>
    <w:p w:rsidR="00876082" w:rsidRPr="009F5CF2" w:rsidRDefault="00876082" w:rsidP="005A51F6">
      <w:pPr>
        <w:autoSpaceDE w:val="0"/>
        <w:autoSpaceDN w:val="0"/>
        <w:adjustRightInd w:val="0"/>
        <w:jc w:val="both"/>
        <w:rPr>
          <w:rFonts w:ascii="Times New Roman" w:eastAsia="SymbolMT" w:hAnsi="Times New Roman"/>
          <w:b/>
          <w:color w:val="000000"/>
          <w:sz w:val="22"/>
          <w:szCs w:val="22"/>
          <w:u w:val="single"/>
        </w:rPr>
      </w:pPr>
    </w:p>
    <w:p w:rsidR="005A51F6" w:rsidRPr="009F5CF2" w:rsidRDefault="005A51F6" w:rsidP="005A51F6">
      <w:pPr>
        <w:autoSpaceDE w:val="0"/>
        <w:autoSpaceDN w:val="0"/>
        <w:adjustRightInd w:val="0"/>
        <w:jc w:val="both"/>
        <w:rPr>
          <w:rFonts w:ascii="Times New Roman" w:eastAsia="SymbolMT" w:hAnsi="Times New Roman"/>
          <w:color w:val="000000"/>
          <w:sz w:val="22"/>
          <w:szCs w:val="22"/>
        </w:rPr>
      </w:pPr>
      <w:r w:rsidRPr="009F5CF2">
        <w:rPr>
          <w:rFonts w:ascii="Times New Roman" w:eastAsia="SymbolMT" w:hAnsi="Times New Roman"/>
          <w:b/>
          <w:color w:val="000000"/>
          <w:sz w:val="22"/>
          <w:szCs w:val="22"/>
          <w:u w:val="single"/>
        </w:rPr>
        <w:t>Student services</w:t>
      </w:r>
    </w:p>
    <w:p w:rsidR="005A51F6" w:rsidRPr="009F5CF2" w:rsidRDefault="005A51F6" w:rsidP="00794920">
      <w:pPr>
        <w:autoSpaceDE w:val="0"/>
        <w:autoSpaceDN w:val="0"/>
        <w:adjustRightInd w:val="0"/>
        <w:jc w:val="both"/>
        <w:rPr>
          <w:rFonts w:ascii="Times New Roman" w:eastAsia="SymbolMT" w:hAnsi="Times New Roman"/>
          <w:color w:val="000000"/>
          <w:sz w:val="22"/>
          <w:szCs w:val="22"/>
        </w:rPr>
      </w:pPr>
      <w:r w:rsidRPr="009F5CF2">
        <w:rPr>
          <w:rFonts w:ascii="Times New Roman" w:eastAsia="SymbolMT" w:hAnsi="Times New Roman"/>
          <w:i/>
          <w:iCs/>
          <w:color w:val="000000"/>
          <w:sz w:val="22"/>
          <w:szCs w:val="22"/>
        </w:rPr>
        <w:t xml:space="preserve">The Academic Success Center </w:t>
      </w:r>
      <w:r w:rsidRPr="009F5CF2">
        <w:rPr>
          <w:rFonts w:ascii="Times New Roman" w:eastAsia="SymbolMT" w:hAnsi="Times New Roman"/>
          <w:color w:val="000000"/>
          <w:sz w:val="22"/>
          <w:szCs w:val="22"/>
        </w:rPr>
        <w:t xml:space="preserve">(1600 Undergraduate Library) assists students with content in select courses and in strengthening study skills. Visit </w:t>
      </w:r>
      <w:r w:rsidRPr="009F5CF2">
        <w:rPr>
          <w:rFonts w:ascii="Times New Roman" w:eastAsia="SymbolMT" w:hAnsi="Times New Roman"/>
          <w:color w:val="0000FF"/>
          <w:sz w:val="22"/>
          <w:szCs w:val="22"/>
        </w:rPr>
        <w:t xml:space="preserve">www.success.wayne.edu </w:t>
      </w:r>
      <w:r w:rsidRPr="009F5CF2">
        <w:rPr>
          <w:rFonts w:ascii="Times New Roman" w:eastAsia="SymbolMT" w:hAnsi="Times New Roman"/>
          <w:color w:val="000000"/>
          <w:sz w:val="22"/>
          <w:szCs w:val="22"/>
        </w:rPr>
        <w:t>for schedules and information on study skills workshops, tutoring and supplemental instruction (primarily in 1000 and 2000 level courses).</w:t>
      </w:r>
      <w:r w:rsidR="00794920" w:rsidRPr="009F5CF2">
        <w:rPr>
          <w:rFonts w:ascii="Times New Roman" w:eastAsia="SymbolMT" w:hAnsi="Times New Roman"/>
          <w:color w:val="000000"/>
          <w:sz w:val="22"/>
          <w:szCs w:val="22"/>
        </w:rPr>
        <w:t xml:space="preserve">  </w:t>
      </w:r>
      <w:r w:rsidRPr="009F5CF2">
        <w:rPr>
          <w:rFonts w:ascii="Times New Roman" w:eastAsia="SymbolMT" w:hAnsi="Times New Roman"/>
          <w:color w:val="000000"/>
          <w:sz w:val="22"/>
          <w:szCs w:val="22"/>
        </w:rPr>
        <w:t xml:space="preserve">The Writing Center is located on the 2nd floor of the Undergraduate Library and provides individual tutoring consultations free of charge. Visit </w:t>
      </w:r>
      <w:r w:rsidRPr="009F5CF2">
        <w:rPr>
          <w:rFonts w:ascii="Times New Roman" w:eastAsia="SymbolMT" w:hAnsi="Times New Roman"/>
          <w:color w:val="0000FF"/>
          <w:sz w:val="22"/>
          <w:szCs w:val="22"/>
        </w:rPr>
        <w:t xml:space="preserve">http://clasweb.clas.wayne.edu/writing </w:t>
      </w:r>
      <w:r w:rsidRPr="009F5CF2">
        <w:rPr>
          <w:rFonts w:ascii="Times New Roman" w:eastAsia="SymbolMT" w:hAnsi="Times New Roman"/>
          <w:color w:val="000000"/>
          <w:sz w:val="22"/>
          <w:szCs w:val="22"/>
        </w:rPr>
        <w:t>to obtain information on tutors, appointments, and the type of help they can provide.</w:t>
      </w:r>
    </w:p>
    <w:p w:rsidR="00876082" w:rsidRPr="009F5CF2" w:rsidRDefault="00876082" w:rsidP="005A51F6">
      <w:pPr>
        <w:autoSpaceDE w:val="0"/>
        <w:autoSpaceDN w:val="0"/>
        <w:adjustRightInd w:val="0"/>
        <w:jc w:val="both"/>
        <w:rPr>
          <w:rFonts w:ascii="Times New Roman" w:eastAsia="SymbolMT" w:hAnsi="Times New Roman"/>
          <w:b/>
          <w:color w:val="000000"/>
          <w:sz w:val="22"/>
          <w:szCs w:val="22"/>
          <w:u w:val="single"/>
        </w:rPr>
      </w:pPr>
    </w:p>
    <w:p w:rsidR="005A51F6" w:rsidRPr="009F5CF2" w:rsidRDefault="005A51F6" w:rsidP="005A51F6">
      <w:pPr>
        <w:autoSpaceDE w:val="0"/>
        <w:autoSpaceDN w:val="0"/>
        <w:adjustRightInd w:val="0"/>
        <w:jc w:val="both"/>
        <w:rPr>
          <w:rFonts w:ascii="Times New Roman" w:eastAsia="SymbolMT" w:hAnsi="Times New Roman"/>
          <w:color w:val="000000"/>
          <w:sz w:val="22"/>
          <w:szCs w:val="22"/>
        </w:rPr>
      </w:pPr>
      <w:r w:rsidRPr="009F5CF2">
        <w:rPr>
          <w:rFonts w:ascii="Times New Roman" w:eastAsia="SymbolMT" w:hAnsi="Times New Roman"/>
          <w:b/>
          <w:color w:val="000000"/>
          <w:sz w:val="22"/>
          <w:szCs w:val="22"/>
          <w:u w:val="single"/>
        </w:rPr>
        <w:t>Class recordings:</w:t>
      </w:r>
      <w:r w:rsidRPr="009F5CF2">
        <w:rPr>
          <w:rFonts w:ascii="Times New Roman" w:eastAsia="SymbolMT" w:hAnsi="Times New Roman"/>
          <w:color w:val="000000"/>
          <w:sz w:val="22"/>
          <w:szCs w:val="22"/>
        </w:rPr>
        <w:t xml:space="preserve"> Students need prior written permission from the instructor before recording any portion of this class. If permission is granted, the audio and/or video recording is to be used only for the student’s personal instructional use. Such recordings are not intended for a wider public audience, such as postings to the internet or sharing with others. Students registered with Student Disabilities Services (SDS) who wish to record class materials must present their specific accommodation to the instructor, who will subsequently comply with the request unless there is some specific reason why s/he cannot, such as discussion of confidential or protected information.</w:t>
      </w:r>
    </w:p>
    <w:p w:rsidR="00A525F4" w:rsidRPr="009F5CF2" w:rsidRDefault="00A525F4">
      <w:pPr>
        <w:rPr>
          <w:rFonts w:ascii="Times New Roman" w:hAnsi="Times New Roman"/>
          <w:sz w:val="22"/>
          <w:szCs w:val="22"/>
        </w:rPr>
      </w:pPr>
    </w:p>
    <w:sectPr w:rsidR="00A525F4" w:rsidRPr="009F5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6E2"/>
    <w:multiLevelType w:val="multilevel"/>
    <w:tmpl w:val="1918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704C1"/>
    <w:multiLevelType w:val="multilevel"/>
    <w:tmpl w:val="09EC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5A73C8"/>
    <w:multiLevelType w:val="hybridMultilevel"/>
    <w:tmpl w:val="63C03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A4B41"/>
    <w:multiLevelType w:val="multilevel"/>
    <w:tmpl w:val="5D8A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273A01"/>
    <w:multiLevelType w:val="multilevel"/>
    <w:tmpl w:val="14FA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207AEA"/>
    <w:multiLevelType w:val="multilevel"/>
    <w:tmpl w:val="5F5C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DD473C"/>
    <w:multiLevelType w:val="multilevel"/>
    <w:tmpl w:val="0130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1807B1"/>
    <w:multiLevelType w:val="hybridMultilevel"/>
    <w:tmpl w:val="FDAEBBE2"/>
    <w:lvl w:ilvl="0" w:tplc="FD020110">
      <w:start w:val="3"/>
      <w:numFmt w:val="bullet"/>
      <w:lvlText w:val="-"/>
      <w:lvlJc w:val="left"/>
      <w:pPr>
        <w:ind w:left="720" w:hanging="360"/>
      </w:pPr>
      <w:rPr>
        <w:rFonts w:ascii="Courier New" w:eastAsia="SymbolMT"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47E87"/>
    <w:multiLevelType w:val="multilevel"/>
    <w:tmpl w:val="B6DA5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433E5B"/>
    <w:multiLevelType w:val="multilevel"/>
    <w:tmpl w:val="AF76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173FD8"/>
    <w:multiLevelType w:val="hybridMultilevel"/>
    <w:tmpl w:val="E098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544729"/>
    <w:multiLevelType w:val="multilevel"/>
    <w:tmpl w:val="7732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892B49"/>
    <w:multiLevelType w:val="multilevel"/>
    <w:tmpl w:val="AF58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F409CE"/>
    <w:multiLevelType w:val="multilevel"/>
    <w:tmpl w:val="8EDA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0E2C60"/>
    <w:multiLevelType w:val="multilevel"/>
    <w:tmpl w:val="23FE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2057B7"/>
    <w:multiLevelType w:val="multilevel"/>
    <w:tmpl w:val="A504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FC6E37"/>
    <w:multiLevelType w:val="hybridMultilevel"/>
    <w:tmpl w:val="02A84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2"/>
  </w:num>
  <w:num w:numId="4">
    <w:abstractNumId w:val="3"/>
  </w:num>
  <w:num w:numId="5">
    <w:abstractNumId w:val="15"/>
  </w:num>
  <w:num w:numId="6">
    <w:abstractNumId w:val="14"/>
  </w:num>
  <w:num w:numId="7">
    <w:abstractNumId w:val="4"/>
  </w:num>
  <w:num w:numId="8">
    <w:abstractNumId w:val="6"/>
  </w:num>
  <w:num w:numId="9">
    <w:abstractNumId w:val="10"/>
  </w:num>
  <w:num w:numId="10">
    <w:abstractNumId w:val="11"/>
  </w:num>
  <w:num w:numId="11">
    <w:abstractNumId w:val="0"/>
  </w:num>
  <w:num w:numId="12">
    <w:abstractNumId w:val="1"/>
  </w:num>
  <w:num w:numId="13">
    <w:abstractNumId w:val="16"/>
  </w:num>
  <w:num w:numId="14">
    <w:abstractNumId w:val="5"/>
  </w:num>
  <w:num w:numId="15">
    <w:abstractNumId w:val="9"/>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1F6"/>
    <w:rsid w:val="000473C9"/>
    <w:rsid w:val="001633DB"/>
    <w:rsid w:val="001843D4"/>
    <w:rsid w:val="002B5BAE"/>
    <w:rsid w:val="003A5971"/>
    <w:rsid w:val="0057711B"/>
    <w:rsid w:val="005A51F6"/>
    <w:rsid w:val="00683046"/>
    <w:rsid w:val="00794920"/>
    <w:rsid w:val="0081272D"/>
    <w:rsid w:val="00876082"/>
    <w:rsid w:val="009F5CF2"/>
    <w:rsid w:val="00A03135"/>
    <w:rsid w:val="00A4173F"/>
    <w:rsid w:val="00A525F4"/>
    <w:rsid w:val="00AC7D42"/>
    <w:rsid w:val="00ED41CA"/>
    <w:rsid w:val="00F6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A464"/>
  <w15:chartTrackingRefBased/>
  <w15:docId w15:val="{0267AD7D-12D8-400B-B183-423ACF7A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1F6"/>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5A51F6"/>
    <w:pPr>
      <w:keepNext/>
      <w:widowControl/>
      <w:outlineLvl w:val="0"/>
    </w:pPr>
    <w:rPr>
      <w:rFonts w:ascii="Times New Roman" w:hAnsi="Times New Roman"/>
      <w:snapToGrid/>
    </w:rPr>
  </w:style>
  <w:style w:type="paragraph" w:styleId="Heading2">
    <w:name w:val="heading 2"/>
    <w:basedOn w:val="Normal"/>
    <w:next w:val="Normal"/>
    <w:link w:val="Heading2Char"/>
    <w:uiPriority w:val="9"/>
    <w:semiHidden/>
    <w:unhideWhenUsed/>
    <w:qFormat/>
    <w:rsid w:val="00A4173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51F6"/>
    <w:rPr>
      <w:rFonts w:ascii="Times New Roman" w:eastAsia="Times New Roman" w:hAnsi="Times New Roman" w:cs="Times New Roman"/>
      <w:sz w:val="24"/>
      <w:szCs w:val="20"/>
    </w:rPr>
  </w:style>
  <w:style w:type="paragraph" w:styleId="ListParagraph">
    <w:name w:val="List Paragraph"/>
    <w:basedOn w:val="Normal"/>
    <w:uiPriority w:val="34"/>
    <w:qFormat/>
    <w:rsid w:val="005A51F6"/>
    <w:pPr>
      <w:ind w:left="720"/>
      <w:contextualSpacing/>
    </w:pPr>
  </w:style>
  <w:style w:type="character" w:styleId="Hyperlink">
    <w:name w:val="Hyperlink"/>
    <w:basedOn w:val="DefaultParagraphFont"/>
    <w:uiPriority w:val="99"/>
    <w:unhideWhenUsed/>
    <w:rsid w:val="005A51F6"/>
    <w:rPr>
      <w:color w:val="0000FF"/>
      <w:u w:val="single"/>
    </w:rPr>
  </w:style>
  <w:style w:type="character" w:customStyle="1" w:styleId="bylinepipe">
    <w:name w:val="bylinepipe"/>
    <w:basedOn w:val="DefaultParagraphFont"/>
    <w:rsid w:val="005A51F6"/>
  </w:style>
  <w:style w:type="character" w:styleId="Emphasis">
    <w:name w:val="Emphasis"/>
    <w:basedOn w:val="DefaultParagraphFont"/>
    <w:uiPriority w:val="20"/>
    <w:qFormat/>
    <w:rsid w:val="005A51F6"/>
    <w:rPr>
      <w:i/>
      <w:iCs/>
    </w:rPr>
  </w:style>
  <w:style w:type="paragraph" w:styleId="NormalWeb">
    <w:name w:val="Normal (Web)"/>
    <w:basedOn w:val="Normal"/>
    <w:uiPriority w:val="99"/>
    <w:unhideWhenUsed/>
    <w:rsid w:val="00876082"/>
    <w:pPr>
      <w:widowControl/>
      <w:spacing w:before="100" w:beforeAutospacing="1" w:after="100" w:afterAutospacing="1"/>
    </w:pPr>
    <w:rPr>
      <w:rFonts w:ascii="Times New Roman" w:hAnsi="Times New Roman"/>
      <w:snapToGrid/>
      <w:szCs w:val="24"/>
    </w:rPr>
  </w:style>
  <w:style w:type="character" w:styleId="Strong">
    <w:name w:val="Strong"/>
    <w:basedOn w:val="DefaultParagraphFont"/>
    <w:uiPriority w:val="22"/>
    <w:qFormat/>
    <w:rsid w:val="00A4173F"/>
    <w:rPr>
      <w:b/>
      <w:bCs/>
    </w:rPr>
  </w:style>
  <w:style w:type="character" w:customStyle="1" w:styleId="Heading2Char">
    <w:name w:val="Heading 2 Char"/>
    <w:basedOn w:val="DefaultParagraphFont"/>
    <w:link w:val="Heading2"/>
    <w:uiPriority w:val="9"/>
    <w:semiHidden/>
    <w:rsid w:val="00A4173F"/>
    <w:rPr>
      <w:rFonts w:asciiTheme="majorHAnsi" w:eastAsiaTheme="majorEastAsia" w:hAnsiTheme="majorHAnsi" w:cstheme="majorBidi"/>
      <w:snapToGrid w:val="0"/>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72941">
      <w:bodyDiv w:val="1"/>
      <w:marLeft w:val="0"/>
      <w:marRight w:val="0"/>
      <w:marTop w:val="0"/>
      <w:marBottom w:val="0"/>
      <w:divBdr>
        <w:top w:val="none" w:sz="0" w:space="0" w:color="auto"/>
        <w:left w:val="none" w:sz="0" w:space="0" w:color="auto"/>
        <w:bottom w:val="none" w:sz="0" w:space="0" w:color="auto"/>
        <w:right w:val="none" w:sz="0" w:space="0" w:color="auto"/>
      </w:divBdr>
    </w:div>
    <w:div w:id="459499676">
      <w:bodyDiv w:val="1"/>
      <w:marLeft w:val="0"/>
      <w:marRight w:val="0"/>
      <w:marTop w:val="0"/>
      <w:marBottom w:val="0"/>
      <w:divBdr>
        <w:top w:val="none" w:sz="0" w:space="0" w:color="auto"/>
        <w:left w:val="none" w:sz="0" w:space="0" w:color="auto"/>
        <w:bottom w:val="none" w:sz="0" w:space="0" w:color="auto"/>
        <w:right w:val="none" w:sz="0" w:space="0" w:color="auto"/>
      </w:divBdr>
      <w:divsChild>
        <w:div w:id="1565070528">
          <w:marLeft w:val="0"/>
          <w:marRight w:val="0"/>
          <w:marTop w:val="0"/>
          <w:marBottom w:val="0"/>
          <w:divBdr>
            <w:top w:val="none" w:sz="0" w:space="0" w:color="auto"/>
            <w:left w:val="none" w:sz="0" w:space="0" w:color="auto"/>
            <w:bottom w:val="none" w:sz="0" w:space="0" w:color="auto"/>
            <w:right w:val="none" w:sz="0" w:space="0" w:color="auto"/>
          </w:divBdr>
        </w:div>
      </w:divsChild>
    </w:div>
    <w:div w:id="531574059">
      <w:bodyDiv w:val="1"/>
      <w:marLeft w:val="0"/>
      <w:marRight w:val="0"/>
      <w:marTop w:val="0"/>
      <w:marBottom w:val="0"/>
      <w:divBdr>
        <w:top w:val="none" w:sz="0" w:space="0" w:color="auto"/>
        <w:left w:val="none" w:sz="0" w:space="0" w:color="auto"/>
        <w:bottom w:val="none" w:sz="0" w:space="0" w:color="auto"/>
        <w:right w:val="none" w:sz="0" w:space="0" w:color="auto"/>
      </w:divBdr>
    </w:div>
    <w:div w:id="1520586524">
      <w:bodyDiv w:val="1"/>
      <w:marLeft w:val="0"/>
      <w:marRight w:val="0"/>
      <w:marTop w:val="0"/>
      <w:marBottom w:val="0"/>
      <w:divBdr>
        <w:top w:val="none" w:sz="0" w:space="0" w:color="auto"/>
        <w:left w:val="none" w:sz="0" w:space="0" w:color="auto"/>
        <w:bottom w:val="none" w:sz="0" w:space="0" w:color="auto"/>
        <w:right w:val="none" w:sz="0" w:space="0" w:color="auto"/>
      </w:divBdr>
    </w:div>
    <w:div w:id="179093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so.wayne.edu/student-conduct-servi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John-W.-Foreman/e/B00EUEC99C/ref=ntt_athr_dp_pel_1" TargetMode="External"/><Relationship Id="rId5" Type="http://schemas.openxmlformats.org/officeDocument/2006/relationships/hyperlink" Target="mailto:rathika.ravi@wayn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Rathika Ravi</dc:creator>
  <cp:keywords/>
  <dc:description/>
  <cp:lastModifiedBy>Kiantee Rupert-Randell</cp:lastModifiedBy>
  <cp:revision>2</cp:revision>
  <dcterms:created xsi:type="dcterms:W3CDTF">2019-07-02T15:47:00Z</dcterms:created>
  <dcterms:modified xsi:type="dcterms:W3CDTF">2019-07-02T15:47:00Z</dcterms:modified>
</cp:coreProperties>
</file>